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A1481" w14:textId="3A8A2AAA" w:rsidR="00712937" w:rsidRPr="004E455D" w:rsidRDefault="00712937" w:rsidP="00712937">
      <w:pPr>
        <w:pStyle w:val="3GPPHeader"/>
        <w:spacing w:after="60"/>
        <w:rPr>
          <w:sz w:val="32"/>
          <w:szCs w:val="32"/>
          <w:highlight w:val="yellow"/>
        </w:rPr>
      </w:pPr>
      <w:r w:rsidRPr="004E455D">
        <w:t>3GPP TSG-RAN WG2 AH 1807</w:t>
      </w:r>
      <w:r w:rsidRPr="004E455D">
        <w:tab/>
      </w:r>
      <w:r w:rsidRPr="004E455D">
        <w:rPr>
          <w:sz w:val="32"/>
          <w:szCs w:val="32"/>
        </w:rPr>
        <w:t xml:space="preserve">Tdoc </w:t>
      </w:r>
      <w:r w:rsidR="00D860F2" w:rsidRPr="004E455D">
        <w:rPr>
          <w:sz w:val="32"/>
          <w:szCs w:val="32"/>
        </w:rPr>
        <w:t>R2-1810385</w:t>
      </w:r>
    </w:p>
    <w:p w14:paraId="528164C4" w14:textId="77777777" w:rsidR="00712937" w:rsidRPr="004E455D" w:rsidRDefault="00712937" w:rsidP="00712937">
      <w:pPr>
        <w:pStyle w:val="3GPPHeader"/>
      </w:pPr>
      <w:r w:rsidRPr="004E455D">
        <w:t>Montreal, Canada, 2</w:t>
      </w:r>
      <w:r w:rsidRPr="004E455D">
        <w:rPr>
          <w:vertAlign w:val="superscript"/>
        </w:rPr>
        <w:t>nd</w:t>
      </w:r>
      <w:r w:rsidRPr="004E455D">
        <w:t xml:space="preserve"> – 6</w:t>
      </w:r>
      <w:r w:rsidRPr="004E455D">
        <w:rPr>
          <w:vertAlign w:val="superscript"/>
        </w:rPr>
        <w:t>th</w:t>
      </w:r>
      <w:r w:rsidRPr="004E455D">
        <w:t xml:space="preserve"> July 2018</w:t>
      </w:r>
    </w:p>
    <w:p w14:paraId="49038D1E" w14:textId="77777777" w:rsidR="00E90E49" w:rsidRPr="004E455D" w:rsidRDefault="00E90E49" w:rsidP="00357380">
      <w:pPr>
        <w:pStyle w:val="3GPPHeader"/>
      </w:pPr>
    </w:p>
    <w:p w14:paraId="2849908A" w14:textId="0C951652" w:rsidR="00E90E49" w:rsidRPr="004E455D" w:rsidRDefault="00E90E49" w:rsidP="00311702">
      <w:pPr>
        <w:pStyle w:val="3GPPHeader"/>
        <w:rPr>
          <w:sz w:val="22"/>
          <w:szCs w:val="22"/>
        </w:rPr>
      </w:pPr>
      <w:r w:rsidRPr="004E455D">
        <w:rPr>
          <w:sz w:val="22"/>
          <w:szCs w:val="22"/>
        </w:rPr>
        <w:t>Agenda Item:</w:t>
      </w:r>
      <w:r w:rsidRPr="004E455D">
        <w:rPr>
          <w:sz w:val="22"/>
          <w:szCs w:val="22"/>
        </w:rPr>
        <w:tab/>
      </w:r>
      <w:r w:rsidR="0009059C" w:rsidRPr="004E455D">
        <w:rPr>
          <w:sz w:val="22"/>
          <w:szCs w:val="22"/>
        </w:rPr>
        <w:t>10.4.1.3.1.2 – NR Stage 3 - Connection control procedures - Other</w:t>
      </w:r>
    </w:p>
    <w:p w14:paraId="293AD367" w14:textId="77777777" w:rsidR="00E90E49" w:rsidRPr="004E455D" w:rsidRDefault="003D3C45" w:rsidP="00F64C2B">
      <w:pPr>
        <w:pStyle w:val="3GPPHeader"/>
        <w:rPr>
          <w:sz w:val="22"/>
          <w:szCs w:val="22"/>
        </w:rPr>
      </w:pPr>
      <w:r w:rsidRPr="004E455D">
        <w:rPr>
          <w:sz w:val="22"/>
          <w:szCs w:val="22"/>
        </w:rPr>
        <w:t>Source:</w:t>
      </w:r>
      <w:r w:rsidR="00E90E49" w:rsidRPr="004E455D">
        <w:rPr>
          <w:sz w:val="22"/>
          <w:szCs w:val="22"/>
        </w:rPr>
        <w:tab/>
      </w:r>
      <w:r w:rsidR="00F64C2B" w:rsidRPr="004E455D">
        <w:rPr>
          <w:sz w:val="22"/>
          <w:szCs w:val="22"/>
        </w:rPr>
        <w:t>Ericsson</w:t>
      </w:r>
    </w:p>
    <w:p w14:paraId="50CCE504" w14:textId="715768DD" w:rsidR="00E90E49" w:rsidRPr="004E455D" w:rsidRDefault="003D3C45" w:rsidP="00311702">
      <w:pPr>
        <w:pStyle w:val="3GPPHeader"/>
        <w:rPr>
          <w:sz w:val="22"/>
          <w:szCs w:val="22"/>
        </w:rPr>
      </w:pPr>
      <w:r w:rsidRPr="004E455D">
        <w:rPr>
          <w:sz w:val="22"/>
          <w:szCs w:val="22"/>
        </w:rPr>
        <w:t>Title:</w:t>
      </w:r>
      <w:r w:rsidR="00E90E49" w:rsidRPr="004E455D">
        <w:rPr>
          <w:sz w:val="22"/>
          <w:szCs w:val="22"/>
        </w:rPr>
        <w:tab/>
      </w:r>
      <w:r w:rsidR="00FB508E" w:rsidRPr="004E455D">
        <w:rPr>
          <w:sz w:val="22"/>
          <w:szCs w:val="22"/>
        </w:rPr>
        <w:t>Handling of SDL and SUL bands</w:t>
      </w:r>
    </w:p>
    <w:p w14:paraId="0219DF19" w14:textId="68710C07" w:rsidR="00E90E49" w:rsidRPr="004E455D" w:rsidRDefault="00E90E49" w:rsidP="00FB508E">
      <w:pPr>
        <w:pStyle w:val="3GPPHeader"/>
      </w:pPr>
      <w:r w:rsidRPr="004E455D">
        <w:rPr>
          <w:sz w:val="22"/>
          <w:szCs w:val="22"/>
        </w:rPr>
        <w:t>Document for:</w:t>
      </w:r>
      <w:r w:rsidRPr="004E455D">
        <w:rPr>
          <w:sz w:val="22"/>
          <w:szCs w:val="22"/>
        </w:rPr>
        <w:tab/>
        <w:t>Discussion, Decision</w:t>
      </w:r>
    </w:p>
    <w:p w14:paraId="35907E7A" w14:textId="77777777" w:rsidR="00E90E49" w:rsidRPr="004E455D" w:rsidRDefault="00230D18" w:rsidP="00CE0424">
      <w:pPr>
        <w:pStyle w:val="Heading1"/>
      </w:pPr>
      <w:r w:rsidRPr="004E455D">
        <w:t>1</w:t>
      </w:r>
      <w:r w:rsidRPr="004E455D">
        <w:tab/>
      </w:r>
      <w:r w:rsidR="00E90E49" w:rsidRPr="004E455D">
        <w:t>Introduction</w:t>
      </w:r>
    </w:p>
    <w:p w14:paraId="0350D13D" w14:textId="2A6AAEDA" w:rsidR="00477768" w:rsidRPr="004E455D" w:rsidRDefault="000A072D" w:rsidP="00CE0424">
      <w:pPr>
        <w:pStyle w:val="BodyText"/>
      </w:pPr>
      <w:r w:rsidRPr="004E455D">
        <w:t>RAN-80 agreed a way forward (</w:t>
      </w:r>
      <w:r w:rsidR="00DE2F8C" w:rsidRPr="004E455D">
        <w:fldChar w:fldCharType="begin"/>
      </w:r>
      <w:r w:rsidR="00DE2F8C" w:rsidRPr="004E455D">
        <w:instrText xml:space="preserve"> REF _Ref517189631 \n \h </w:instrText>
      </w:r>
      <w:r w:rsidR="00DE2F8C" w:rsidRPr="004E455D">
        <w:fldChar w:fldCharType="separate"/>
      </w:r>
      <w:r w:rsidR="00CD23D8">
        <w:t>[2]</w:t>
      </w:r>
      <w:r w:rsidR="00DE2F8C" w:rsidRPr="004E455D">
        <w:fldChar w:fldCharType="end"/>
      </w:r>
      <w:r w:rsidRPr="004E455D">
        <w:t>) on the usage of so-called Supplementary Downlink (SDL) Bands and Supplementary Uplink (SUL) Bands.</w:t>
      </w:r>
      <w:r w:rsidR="005D0DEB" w:rsidRPr="004E455D">
        <w:t xml:space="preserve"> The way forward document proposed the following:</w:t>
      </w:r>
    </w:p>
    <w:tbl>
      <w:tblPr>
        <w:tblStyle w:val="TableGrid"/>
        <w:tblW w:w="0" w:type="auto"/>
        <w:tblLook w:val="04A0" w:firstRow="1" w:lastRow="0" w:firstColumn="1" w:lastColumn="0" w:noHBand="0" w:noVBand="1"/>
      </w:tblPr>
      <w:tblGrid>
        <w:gridCol w:w="9629"/>
      </w:tblGrid>
      <w:tr w:rsidR="005D0DEB" w:rsidRPr="004E455D" w14:paraId="1A99CCD7" w14:textId="77777777" w:rsidTr="005D0DEB">
        <w:tc>
          <w:tcPr>
            <w:tcW w:w="9629" w:type="dxa"/>
          </w:tcPr>
          <w:p w14:paraId="160E12B5" w14:textId="2DBA2451" w:rsidR="005D0DEB" w:rsidRPr="004E455D" w:rsidRDefault="005D0DEB" w:rsidP="005D0DEB">
            <w:pPr>
              <w:pStyle w:val="BodyText"/>
              <w:rPr>
                <w:sz w:val="20"/>
                <w:lang w:val="en-GB"/>
              </w:rPr>
            </w:pPr>
            <w:r w:rsidRPr="004E455D">
              <w:rPr>
                <w:sz w:val="20"/>
                <w:lang w:val="en-GB"/>
              </w:rPr>
              <w:t xml:space="preserve">Ensure in Rel-15 to allow configuration of a cell where the only UL </w:t>
            </w:r>
            <w:r w:rsidR="00CD23D8" w:rsidRPr="004E455D">
              <w:rPr>
                <w:sz w:val="20"/>
                <w:lang w:val="en-GB"/>
              </w:rPr>
              <w:t>signalled</w:t>
            </w:r>
            <w:r w:rsidRPr="004E455D">
              <w:rPr>
                <w:sz w:val="20"/>
                <w:lang w:val="en-GB"/>
              </w:rPr>
              <w:t xml:space="preserve"> in SIB is in a RAN4-defined SUL band, and where the DL is in a RAN4-defined SDL band or in a TDD band. PRACH transmissions initiated only on the SUL should be supported.</w:t>
            </w:r>
          </w:p>
          <w:p w14:paraId="34F069E5" w14:textId="77777777" w:rsidR="005D0DEB" w:rsidRPr="004E455D" w:rsidRDefault="005D0DEB" w:rsidP="005D0DEB">
            <w:pPr>
              <w:pStyle w:val="BodyText"/>
              <w:rPr>
                <w:sz w:val="20"/>
                <w:lang w:val="en-GB"/>
              </w:rPr>
            </w:pPr>
            <w:r w:rsidRPr="004E455D">
              <w:rPr>
                <w:sz w:val="20"/>
                <w:lang w:val="en-GB"/>
              </w:rPr>
              <w:t xml:space="preserve">Task RAN2 to check if complete support for </w:t>
            </w:r>
            <w:proofErr w:type="spellStart"/>
            <w:r w:rsidRPr="004E455D">
              <w:rPr>
                <w:sz w:val="20"/>
                <w:lang w:val="en-GB"/>
              </w:rPr>
              <w:t>SDL+SUL</w:t>
            </w:r>
            <w:proofErr w:type="spellEnd"/>
            <w:r w:rsidRPr="004E455D">
              <w:rPr>
                <w:sz w:val="20"/>
                <w:lang w:val="en-GB"/>
              </w:rPr>
              <w:t xml:space="preserve"> in Rel-15 is already ensured and whether a specific capability is required, and if needed to complete the support</w:t>
            </w:r>
          </w:p>
          <w:p w14:paraId="061B3C41" w14:textId="77777777" w:rsidR="005D0DEB" w:rsidRPr="004E455D" w:rsidRDefault="005D0DEB" w:rsidP="005D0DEB">
            <w:pPr>
              <w:pStyle w:val="BodyText"/>
              <w:rPr>
                <w:sz w:val="20"/>
                <w:lang w:val="en-GB"/>
              </w:rPr>
            </w:pPr>
            <w:r w:rsidRPr="004E455D">
              <w:rPr>
                <w:sz w:val="20"/>
                <w:lang w:val="en-GB"/>
              </w:rPr>
              <w:t>Task RAN4 to determine how to define pairing of bands defined as SDL bands and SUL bands, e.g. whether it should be introduced as new FDD band or new (non-CA) band combination</w:t>
            </w:r>
          </w:p>
          <w:p w14:paraId="39736295" w14:textId="5DE336B8" w:rsidR="005D0DEB" w:rsidRPr="004E455D" w:rsidRDefault="005D0DEB" w:rsidP="005D0DEB">
            <w:pPr>
              <w:pStyle w:val="BodyText"/>
              <w:rPr>
                <w:lang w:val="en-GB"/>
              </w:rPr>
            </w:pPr>
            <w:r w:rsidRPr="004E455D">
              <w:rPr>
                <w:sz w:val="20"/>
                <w:lang w:val="en-GB"/>
              </w:rPr>
              <w:t>RAN2 and RAN4 to coordinate as needed.</w:t>
            </w:r>
          </w:p>
        </w:tc>
      </w:tr>
    </w:tbl>
    <w:p w14:paraId="60057028" w14:textId="5765ED1C" w:rsidR="005D0DEB" w:rsidRPr="004E455D" w:rsidRDefault="005D0DEB" w:rsidP="00CE0424">
      <w:pPr>
        <w:pStyle w:val="BodyText"/>
      </w:pPr>
    </w:p>
    <w:p w14:paraId="7C46303F" w14:textId="1383A164" w:rsidR="005D0DEB" w:rsidRPr="004E455D" w:rsidRDefault="005D0DEB" w:rsidP="00CE0424">
      <w:pPr>
        <w:pStyle w:val="BodyText"/>
      </w:pPr>
      <w:r w:rsidRPr="004E455D">
        <w:t xml:space="preserve">RAN2-102 has already discussed the matter in the session on ED-DC corrections in which it was raised by company </w:t>
      </w:r>
      <w:r w:rsidR="00CD23D8" w:rsidRPr="004E455D">
        <w:t>contributions</w:t>
      </w:r>
      <w:r w:rsidRPr="004E455D">
        <w:t xml:space="preserve">. </w:t>
      </w:r>
    </w:p>
    <w:p w14:paraId="4E77BD24" w14:textId="77777777" w:rsidR="004000E8" w:rsidRPr="004E455D" w:rsidRDefault="00230D18" w:rsidP="00CE0424">
      <w:pPr>
        <w:pStyle w:val="Heading1"/>
      </w:pPr>
      <w:bookmarkStart w:id="0" w:name="_Ref178064866"/>
      <w:r w:rsidRPr="004E455D">
        <w:t>2</w:t>
      </w:r>
      <w:r w:rsidRPr="004E455D">
        <w:tab/>
      </w:r>
      <w:r w:rsidR="004000E8" w:rsidRPr="004E455D">
        <w:t>Discussion</w:t>
      </w:r>
      <w:bookmarkEnd w:id="0"/>
    </w:p>
    <w:p w14:paraId="414118E4" w14:textId="55E0C518" w:rsidR="00EC6972" w:rsidRPr="004E455D" w:rsidRDefault="00EC6972" w:rsidP="00EC6972">
      <w:pPr>
        <w:pStyle w:val="Heading2"/>
      </w:pPr>
      <w:r w:rsidRPr="004E455D">
        <w:t>2.1</w:t>
      </w:r>
      <w:r w:rsidRPr="004E455D">
        <w:tab/>
        <w:t>RRCReconfiguration</w:t>
      </w:r>
    </w:p>
    <w:p w14:paraId="29D43CEE" w14:textId="53FD8E18" w:rsidR="00C8746E" w:rsidRPr="004E455D" w:rsidRDefault="00C8746E" w:rsidP="005D0DEB">
      <w:pPr>
        <w:pStyle w:val="BodyText"/>
      </w:pPr>
      <w:r w:rsidRPr="004E455D">
        <w:t xml:space="preserve">At the previous RAN2 meeting it was discussed whether the NW would have to make use of the “SUL functionality” in a deployment with SDL and SUL bands. As we clarified there, the NW could configure the combination of one UL and one DL carrier in different bands without the "SUL functionality" in RRC. Only if the NW intends to configure UEs with </w:t>
      </w:r>
      <w:r w:rsidRPr="004E455D">
        <w:rPr>
          <w:u w:val="single"/>
        </w:rPr>
        <w:t>two</w:t>
      </w:r>
      <w:r w:rsidRPr="004E455D">
        <w:t xml:space="preserve"> UL carriers for a single DL carrier, the RRC signalling for SUL (</w:t>
      </w:r>
      <w:proofErr w:type="spellStart"/>
      <w:r w:rsidRPr="004E455D">
        <w:t>supplementaryUplinkConfig</w:t>
      </w:r>
      <w:proofErr w:type="spellEnd"/>
      <w:r w:rsidRPr="004E455D">
        <w:t>) is needed.</w:t>
      </w:r>
    </w:p>
    <w:p w14:paraId="29AFB0B8" w14:textId="1B831CFE" w:rsidR="008E065E" w:rsidRPr="004E455D" w:rsidRDefault="00C8746E" w:rsidP="005D0DEB">
      <w:pPr>
        <w:pStyle w:val="BodyText"/>
      </w:pPr>
      <w:r w:rsidRPr="004E455D">
        <w:t xml:space="preserve">Correspondingly, the following agreement was </w:t>
      </w:r>
      <w:r w:rsidR="005D0DEB" w:rsidRPr="004E455D">
        <w:t>captured</w:t>
      </w:r>
      <w:r w:rsidR="00DE2F8C" w:rsidRPr="004E455D">
        <w:t xml:space="preserve"> </w:t>
      </w:r>
      <w:r w:rsidR="00DE2F8C" w:rsidRPr="004E455D">
        <w:fldChar w:fldCharType="begin"/>
      </w:r>
      <w:r w:rsidR="00DE2F8C" w:rsidRPr="004E455D">
        <w:instrText xml:space="preserve"> REF _Ref517189638 \n \h </w:instrText>
      </w:r>
      <w:r w:rsidR="00DE2F8C" w:rsidRPr="004E455D">
        <w:fldChar w:fldCharType="separate"/>
      </w:r>
      <w:r w:rsidR="00CD23D8">
        <w:t>[1]</w:t>
      </w:r>
      <w:r w:rsidR="00DE2F8C" w:rsidRPr="004E455D">
        <w:fldChar w:fldCharType="end"/>
      </w:r>
      <w:r w:rsidR="005D0DEB" w:rsidRPr="004E455D">
        <w:t>:</w:t>
      </w:r>
    </w:p>
    <w:tbl>
      <w:tblPr>
        <w:tblStyle w:val="TableGrid"/>
        <w:tblW w:w="0" w:type="auto"/>
        <w:tblLook w:val="05E0" w:firstRow="1" w:lastRow="1" w:firstColumn="1" w:lastColumn="1" w:noHBand="0" w:noVBand="1"/>
      </w:tblPr>
      <w:tblGrid>
        <w:gridCol w:w="9629"/>
      </w:tblGrid>
      <w:tr w:rsidR="005D0DEB" w:rsidRPr="004E455D" w14:paraId="10595415" w14:textId="77777777" w:rsidTr="005D0DEB">
        <w:tc>
          <w:tcPr>
            <w:tcW w:w="9629" w:type="dxa"/>
          </w:tcPr>
          <w:p w14:paraId="6FF475D5" w14:textId="59100EF1" w:rsidR="005D0DEB" w:rsidRPr="004E455D" w:rsidRDefault="00C8746E" w:rsidP="00C8746E">
            <w:pPr>
              <w:pStyle w:val="BodyText"/>
              <w:tabs>
                <w:tab w:val="left" w:pos="340"/>
              </w:tabs>
              <w:ind w:left="340" w:hanging="340"/>
              <w:rPr>
                <w:lang w:val="en-GB"/>
              </w:rPr>
            </w:pPr>
            <w:r w:rsidRPr="004E455D">
              <w:rPr>
                <w:lang w:val="en-GB"/>
              </w:rPr>
              <w:t xml:space="preserve">=&gt; RAN2 has the understanding that the current RRC signalling would support configuring a serving cell with one downlink and one uplink carrier on different bands using the fields </w:t>
            </w:r>
            <w:proofErr w:type="spellStart"/>
            <w:r w:rsidRPr="004E455D">
              <w:rPr>
                <w:lang w:val="en-GB"/>
              </w:rPr>
              <w:t>frequencyInfoDL</w:t>
            </w:r>
            <w:proofErr w:type="spellEnd"/>
            <w:r w:rsidRPr="004E455D">
              <w:rPr>
                <w:lang w:val="en-GB"/>
              </w:rPr>
              <w:t xml:space="preserve"> and the </w:t>
            </w:r>
            <w:proofErr w:type="spellStart"/>
            <w:r w:rsidRPr="004E455D">
              <w:rPr>
                <w:lang w:val="en-GB"/>
              </w:rPr>
              <w:t>uplinkConfigCommon</w:t>
            </w:r>
            <w:proofErr w:type="spellEnd"/>
            <w:r w:rsidRPr="004E455D">
              <w:rPr>
                <w:lang w:val="en-GB"/>
              </w:rPr>
              <w:t>=&gt;</w:t>
            </w:r>
            <w:r w:rsidR="00CD23D8">
              <w:rPr>
                <w:lang w:val="en-GB"/>
              </w:rPr>
              <w:t xml:space="preserve"> </w:t>
            </w:r>
            <w:proofErr w:type="spellStart"/>
            <w:r w:rsidRPr="004E455D">
              <w:rPr>
                <w:lang w:val="en-GB"/>
              </w:rPr>
              <w:t>frequencyInfoUL</w:t>
            </w:r>
            <w:proofErr w:type="spellEnd"/>
            <w:r w:rsidRPr="004E455D">
              <w:rPr>
                <w:lang w:val="en-GB"/>
              </w:rPr>
              <w:t xml:space="preserve"> in ServingCellConfigCommon. It is up to RAN4 whether they intend to define such band combinations or whether there are any non-signalling related problems.</w:t>
            </w:r>
          </w:p>
        </w:tc>
      </w:tr>
    </w:tbl>
    <w:p w14:paraId="43F0D8D5" w14:textId="211B3879" w:rsidR="005D0DEB" w:rsidRPr="004E455D" w:rsidRDefault="005D0DEB" w:rsidP="005D0DEB">
      <w:pPr>
        <w:pStyle w:val="BodyText"/>
      </w:pPr>
    </w:p>
    <w:p w14:paraId="2C522CD6" w14:textId="4603E1FF" w:rsidR="000D7920" w:rsidRPr="004E455D" w:rsidRDefault="000D7920" w:rsidP="000D7920">
      <w:pPr>
        <w:pStyle w:val="Observation"/>
      </w:pPr>
      <w:bookmarkStart w:id="1" w:name="_Toc517387631"/>
      <w:r w:rsidRPr="004E455D">
        <w:t>RAN2 agreed already in the previous meeting that the RRCReconfiguration supports already the configuration of serving cells with one downlink and one uplink carrier from different (SDL- and SUL-) bands.</w:t>
      </w:r>
      <w:bookmarkEnd w:id="1"/>
      <w:r w:rsidRPr="004E455D">
        <w:t xml:space="preserve"> </w:t>
      </w:r>
    </w:p>
    <w:p w14:paraId="1E01E05C" w14:textId="6259621D" w:rsidR="000D7920" w:rsidRPr="004E455D" w:rsidRDefault="000D7920" w:rsidP="000D7920">
      <w:pPr>
        <w:pStyle w:val="Observation"/>
      </w:pPr>
      <w:bookmarkStart w:id="2" w:name="_Toc517387632"/>
      <w:r w:rsidRPr="004E455D">
        <w:lastRenderedPageBreak/>
        <w:t xml:space="preserve">RAN2 concluded that the “SUL functionality” introduced in NR is not needed to support such deployments, unless the NW intends to configure UEs with </w:t>
      </w:r>
      <w:r w:rsidRPr="004E455D">
        <w:rPr>
          <w:u w:val="single"/>
        </w:rPr>
        <w:t>two</w:t>
      </w:r>
      <w:r w:rsidRPr="004E455D">
        <w:t xml:space="preserve"> UL carriers within a serving cell</w:t>
      </w:r>
      <w:r w:rsidR="004078EF" w:rsidRPr="004E455D">
        <w:t xml:space="preserve"> (which was not the request from RAN plenary)</w:t>
      </w:r>
      <w:r w:rsidRPr="004E455D">
        <w:t>.</w:t>
      </w:r>
      <w:bookmarkEnd w:id="2"/>
    </w:p>
    <w:p w14:paraId="3AFED61B" w14:textId="42C5A412" w:rsidR="00EC6972" w:rsidRPr="004E455D" w:rsidRDefault="00EC6972" w:rsidP="00EC6972">
      <w:pPr>
        <w:pStyle w:val="Heading2"/>
      </w:pPr>
      <w:r w:rsidRPr="004E455D">
        <w:t>2.2</w:t>
      </w:r>
      <w:r w:rsidRPr="004E455D">
        <w:tab/>
        <w:t xml:space="preserve">TDD SDL band </w:t>
      </w:r>
    </w:p>
    <w:p w14:paraId="333422C7" w14:textId="7B667CA7" w:rsidR="00EC6972" w:rsidRPr="004E455D" w:rsidRDefault="00EC6972" w:rsidP="00EC6972">
      <w:pPr>
        <w:pStyle w:val="BodyText"/>
      </w:pPr>
      <w:r w:rsidRPr="004E455D">
        <w:t>In their way-forward document, RAN plenary also asked for the special case “</w:t>
      </w:r>
      <w:r w:rsidRPr="004E455D">
        <w:rPr>
          <w:i/>
        </w:rPr>
        <w:t>where the DL is ... in a TDD band</w:t>
      </w:r>
      <w:r w:rsidRPr="004E455D">
        <w:t xml:space="preserve">”. In principle, also such a scenario is supported by the RRCReconfiguration structure since there are currently no restrictions which band numbers to </w:t>
      </w:r>
      <w:r w:rsidR="00CD23D8" w:rsidRPr="004E455D">
        <w:t>include</w:t>
      </w:r>
      <w:r w:rsidRPr="004E455D">
        <w:t xml:space="preserve"> in FrequencyInfoUL and FrequencyInfoDL. </w:t>
      </w:r>
    </w:p>
    <w:p w14:paraId="03687138" w14:textId="77777777" w:rsidR="00973A8D" w:rsidRPr="004E455D" w:rsidRDefault="00EC6972" w:rsidP="00EC6972">
      <w:pPr>
        <w:pStyle w:val="BodyText"/>
      </w:pPr>
      <w:r w:rsidRPr="004E455D">
        <w:t xml:space="preserve">However, one should note that each serving cell configuration (ServingCellConfigCommon) comprises only one instance of </w:t>
      </w:r>
      <w:proofErr w:type="spellStart"/>
      <w:r w:rsidRPr="004E455D">
        <w:t>tdd</w:t>
      </w:r>
      <w:proofErr w:type="spellEnd"/>
      <w:r w:rsidRPr="004E455D">
        <w:t>-UL-DL-</w:t>
      </w:r>
      <w:proofErr w:type="spellStart"/>
      <w:r w:rsidRPr="004E455D">
        <w:t>ConfigurationCommon</w:t>
      </w:r>
      <w:proofErr w:type="spellEnd"/>
      <w:r w:rsidRPr="004E455D">
        <w:t xml:space="preserve"> which, by RAN1’s definition, determines the uplink and downlink subframes in this serving cell. We assume that RAN1 has so far not discussed the case where only either UL or DL are on a TDD band whereas the other is on a FDD band. In such cases, the TDD configuration</w:t>
      </w:r>
      <w:r w:rsidR="00973A8D" w:rsidRPr="004E455D">
        <w:t>s in ServingCellConfigCommon and ServingCellConfig</w:t>
      </w:r>
      <w:r w:rsidRPr="004E455D">
        <w:t xml:space="preserve"> </w:t>
      </w:r>
      <w:r w:rsidR="00973A8D" w:rsidRPr="004E455D">
        <w:t xml:space="preserve">should only </w:t>
      </w:r>
      <w:r w:rsidRPr="004E455D">
        <w:t xml:space="preserve">apply to the </w:t>
      </w:r>
      <w:r w:rsidR="00973A8D" w:rsidRPr="004E455D">
        <w:t>TDD carrier(s) in this serving cell</w:t>
      </w:r>
      <w:r w:rsidRPr="004E455D">
        <w:t xml:space="preserve">. </w:t>
      </w:r>
      <w:bookmarkStart w:id="3" w:name="_GoBack"/>
      <w:bookmarkEnd w:id="3"/>
    </w:p>
    <w:p w14:paraId="49004719" w14:textId="0721338E" w:rsidR="00EC6972" w:rsidRPr="004E455D" w:rsidRDefault="00973A8D" w:rsidP="00EC6972">
      <w:pPr>
        <w:pStyle w:val="BodyText"/>
      </w:pPr>
      <w:r w:rsidRPr="004E455D">
        <w:t xml:space="preserve">For example: If, </w:t>
      </w:r>
      <w:r w:rsidR="00EC6972" w:rsidRPr="004E455D">
        <w:t xml:space="preserve">as requested by plenary, the DL happens to be on an FDD band, the UE may use all slots therein for DL – even if </w:t>
      </w:r>
      <w:r w:rsidRPr="004E455D">
        <w:t xml:space="preserve">a </w:t>
      </w:r>
      <w:r w:rsidR="00EC6972" w:rsidRPr="004E455D">
        <w:t xml:space="preserve">TDD configuration </w:t>
      </w:r>
      <w:r w:rsidRPr="004E455D">
        <w:t xml:space="preserve">for this serving cell </w:t>
      </w:r>
      <w:r w:rsidR="00EC6972" w:rsidRPr="004E455D">
        <w:t xml:space="preserve">seems to declare it as UL. </w:t>
      </w:r>
    </w:p>
    <w:p w14:paraId="05A5832C" w14:textId="2D666EE2" w:rsidR="00062827" w:rsidRPr="004E455D" w:rsidRDefault="00973A8D" w:rsidP="00973A8D">
      <w:pPr>
        <w:pStyle w:val="Proposal"/>
      </w:pPr>
      <w:bookmarkStart w:id="4" w:name="_Toc517387634"/>
      <w:r w:rsidRPr="004E455D">
        <w:t xml:space="preserve">If a serving cell contains one TDD and one FDD carriers, the TDD configurations (if configured) apply only to the TDD carrier(s). For the FDD carrier(s) it </w:t>
      </w:r>
      <w:r w:rsidR="00062827" w:rsidRPr="004E455D">
        <w:t xml:space="preserve">considers all slots </w:t>
      </w:r>
      <w:r w:rsidRPr="004E455D">
        <w:t xml:space="preserve">as available </w:t>
      </w:r>
      <w:r w:rsidR="00035D55" w:rsidRPr="004E455D">
        <w:t xml:space="preserve">or transmission or reception (in </w:t>
      </w:r>
      <w:proofErr w:type="spellStart"/>
      <w:r w:rsidR="00035D55" w:rsidRPr="004E455D">
        <w:t>accdordance</w:t>
      </w:r>
      <w:proofErr w:type="spellEnd"/>
      <w:r w:rsidR="00035D55" w:rsidRPr="004E455D">
        <w:t xml:space="preserve"> with the configured direction).</w:t>
      </w:r>
      <w:bookmarkEnd w:id="4"/>
      <w:r w:rsidR="00062827" w:rsidRPr="004E455D">
        <w:t xml:space="preserve"> </w:t>
      </w:r>
    </w:p>
    <w:p w14:paraId="5BD5D289" w14:textId="6DE66E10" w:rsidR="00EC6972" w:rsidRPr="004E455D" w:rsidRDefault="00EC6972" w:rsidP="00EC6972">
      <w:pPr>
        <w:pStyle w:val="Heading2"/>
      </w:pPr>
      <w:r w:rsidRPr="004E455D">
        <w:t>2.3</w:t>
      </w:r>
      <w:r w:rsidRPr="004E455D">
        <w:tab/>
        <w:t>UE Capability signalling</w:t>
      </w:r>
    </w:p>
    <w:p w14:paraId="49D327EF" w14:textId="2AF603DC" w:rsidR="000B2D7C" w:rsidRPr="004E455D" w:rsidRDefault="008403C6" w:rsidP="00C8746E">
      <w:pPr>
        <w:pStyle w:val="BodyText"/>
      </w:pPr>
      <w:r w:rsidRPr="004E455D">
        <w:t xml:space="preserve">RAN2 also discussed whether the UE capability signalling </w:t>
      </w:r>
      <w:r w:rsidR="0024496E" w:rsidRPr="004E455D">
        <w:t xml:space="preserve">would support such </w:t>
      </w:r>
      <w:proofErr w:type="spellStart"/>
      <w:r w:rsidR="0024496E" w:rsidRPr="004E455D">
        <w:t>scnearios</w:t>
      </w:r>
      <w:proofErr w:type="spellEnd"/>
      <w:r w:rsidR="0024496E" w:rsidRPr="004E455D">
        <w:t xml:space="preserve">. In our view, as discussed at RAN2-102, a UE could advertise such configurations </w:t>
      </w:r>
      <w:r w:rsidR="000B2D7C" w:rsidRPr="004E455D">
        <w:t xml:space="preserve">by the existing ASN.1 structure: </w:t>
      </w:r>
    </w:p>
    <w:p w14:paraId="010814B6" w14:textId="77777777" w:rsidR="000B2D7C" w:rsidRPr="004E455D" w:rsidRDefault="000B2D7C" w:rsidP="000B2D7C">
      <w:pPr>
        <w:pStyle w:val="ListBullet"/>
      </w:pPr>
      <w:r w:rsidRPr="004E455D">
        <w:t xml:space="preserve">The UE advertise a band combination with two band entries: </w:t>
      </w:r>
    </w:p>
    <w:p w14:paraId="02D53DEF" w14:textId="77777777" w:rsidR="000B2D7C" w:rsidRPr="004E455D" w:rsidRDefault="000B2D7C" w:rsidP="000B2D7C">
      <w:pPr>
        <w:pStyle w:val="ListBullet"/>
        <w:numPr>
          <w:ilvl w:val="1"/>
          <w:numId w:val="16"/>
        </w:numPr>
      </w:pPr>
      <w:r w:rsidRPr="004E455D">
        <w:t xml:space="preserve">one band entry with the SDL band number, and </w:t>
      </w:r>
    </w:p>
    <w:p w14:paraId="18285400" w14:textId="6CE6C174" w:rsidR="000B2D7C" w:rsidRPr="004E455D" w:rsidRDefault="000B2D7C" w:rsidP="000B2D7C">
      <w:pPr>
        <w:pStyle w:val="ListBullet"/>
        <w:numPr>
          <w:ilvl w:val="1"/>
          <w:numId w:val="16"/>
        </w:numPr>
      </w:pPr>
      <w:r w:rsidRPr="004E455D">
        <w:t xml:space="preserve">one band entry with the SUL band number. </w:t>
      </w:r>
    </w:p>
    <w:p w14:paraId="541B3CC3" w14:textId="0C1A879A" w:rsidR="00AB0BC8" w:rsidRPr="004E455D" w:rsidRDefault="000B2D7C" w:rsidP="000B2D7C">
      <w:pPr>
        <w:pStyle w:val="ListBullet"/>
      </w:pPr>
      <w:r w:rsidRPr="004E455D">
        <w:t xml:space="preserve">Furthermore, it advertises a </w:t>
      </w:r>
      <w:proofErr w:type="spellStart"/>
      <w:r w:rsidRPr="004E455D">
        <w:t>FeatureSetCombination</w:t>
      </w:r>
      <w:proofErr w:type="spellEnd"/>
      <w:r w:rsidRPr="004E455D">
        <w:t xml:space="preserve"> where ...</w:t>
      </w:r>
    </w:p>
    <w:p w14:paraId="7C154466" w14:textId="522E4185" w:rsidR="000B2D7C" w:rsidRPr="004E455D" w:rsidRDefault="000B2D7C" w:rsidP="000B2D7C">
      <w:pPr>
        <w:pStyle w:val="ListBullet"/>
        <w:numPr>
          <w:ilvl w:val="1"/>
          <w:numId w:val="16"/>
        </w:numPr>
      </w:pPr>
      <w:proofErr w:type="spellStart"/>
      <w:r w:rsidRPr="004E455D">
        <w:t>FeatureSetUplinkId</w:t>
      </w:r>
      <w:proofErr w:type="spellEnd"/>
      <w:r w:rsidRPr="004E455D">
        <w:t xml:space="preserve"> associated with the SDL band are set to 0, and </w:t>
      </w:r>
    </w:p>
    <w:p w14:paraId="53947EC8" w14:textId="56CB56BF" w:rsidR="000B2D7C" w:rsidRPr="004E455D" w:rsidRDefault="000B2D7C" w:rsidP="000B2D7C">
      <w:pPr>
        <w:pStyle w:val="ListBullet"/>
        <w:numPr>
          <w:ilvl w:val="1"/>
          <w:numId w:val="16"/>
        </w:numPr>
      </w:pPr>
      <w:proofErr w:type="spellStart"/>
      <w:r w:rsidRPr="004E455D">
        <w:t>FeatureSetDownlinkId</w:t>
      </w:r>
      <w:proofErr w:type="spellEnd"/>
      <w:r w:rsidRPr="004E455D">
        <w:t xml:space="preserve"> </w:t>
      </w:r>
      <w:proofErr w:type="spellStart"/>
      <w:r w:rsidRPr="004E455D">
        <w:t>assocaited</w:t>
      </w:r>
      <w:proofErr w:type="spellEnd"/>
      <w:r w:rsidRPr="004E455D">
        <w:t xml:space="preserve"> with the SUL band are set to 0</w:t>
      </w:r>
    </w:p>
    <w:p w14:paraId="45515C83" w14:textId="71C5523C" w:rsidR="000B2D7C" w:rsidRPr="004E455D" w:rsidRDefault="000B2D7C" w:rsidP="00C8746E">
      <w:pPr>
        <w:pStyle w:val="BodyText"/>
      </w:pPr>
      <w:r w:rsidRPr="004E455D">
        <w:t xml:space="preserve">From such band combinations and feature set combinations the NW can deduce that a UE supports serving cells with carriers on SDL and SUL bands. If considered needed, a corresponding clarification could of course be added to 38.331 or 38.306 once RAN4 introduces support for such band combinations. </w:t>
      </w:r>
    </w:p>
    <w:p w14:paraId="39F0C527" w14:textId="67910987" w:rsidR="00C71E3C" w:rsidRPr="004E455D" w:rsidRDefault="00C71E3C" w:rsidP="00C8746E">
      <w:pPr>
        <w:pStyle w:val="BodyText"/>
      </w:pPr>
      <w:r w:rsidRPr="004E455D">
        <w:t xml:space="preserve">One aspect that needs to be considered is that of fallback band combinations and fallback feature sets: Is a </w:t>
      </w:r>
      <w:proofErr w:type="spellStart"/>
      <w:r w:rsidRPr="004E455D">
        <w:t>SD</w:t>
      </w:r>
      <w:r w:rsidR="00E75922" w:rsidRPr="004E455D">
        <w:t>L</w:t>
      </w:r>
      <w:r w:rsidRPr="004E455D">
        <w:t>+SUL</w:t>
      </w:r>
      <w:proofErr w:type="spellEnd"/>
      <w:r w:rsidRPr="004E455D">
        <w:t xml:space="preserve"> combination </w:t>
      </w:r>
      <w:r w:rsidR="00E75922" w:rsidRPr="004E455D">
        <w:t xml:space="preserve">(e.g. </w:t>
      </w:r>
      <w:r w:rsidRPr="004E455D">
        <w:t>“</w:t>
      </w:r>
      <w:proofErr w:type="spellStart"/>
      <w:r w:rsidRPr="004E455D">
        <w:t>DL@Band-A</w:t>
      </w:r>
      <w:proofErr w:type="spellEnd"/>
      <w:r w:rsidRPr="004E455D">
        <w:t xml:space="preserve"> + </w:t>
      </w:r>
      <w:proofErr w:type="spellStart"/>
      <w:r w:rsidRPr="004E455D">
        <w:t>UL@Band-B</w:t>
      </w:r>
      <w:proofErr w:type="spellEnd"/>
      <w:r w:rsidRPr="004E455D">
        <w:t>”</w:t>
      </w:r>
      <w:r w:rsidR="00E75922" w:rsidRPr="004E455D">
        <w:t>)</w:t>
      </w:r>
      <w:r w:rsidRPr="004E455D">
        <w:t xml:space="preserve"> a fallback combination of </w:t>
      </w:r>
      <w:r w:rsidR="00E75922" w:rsidRPr="004E455D">
        <w:t xml:space="preserve">an </w:t>
      </w:r>
      <w:proofErr w:type="spellStart"/>
      <w:r w:rsidR="00E75922" w:rsidRPr="004E455D">
        <w:t>DL+UL+SUL</w:t>
      </w:r>
      <w:proofErr w:type="spellEnd"/>
      <w:r w:rsidR="00E75922" w:rsidRPr="004E455D">
        <w:t xml:space="preserve"> band combination (</w:t>
      </w:r>
      <w:r w:rsidRPr="004E455D">
        <w:t>“</w:t>
      </w:r>
      <w:proofErr w:type="spellStart"/>
      <w:r w:rsidRPr="004E455D">
        <w:t>DL@Band-A</w:t>
      </w:r>
      <w:proofErr w:type="spellEnd"/>
      <w:r w:rsidRPr="004E455D">
        <w:t xml:space="preserve"> + </w:t>
      </w:r>
      <w:proofErr w:type="spellStart"/>
      <w:r w:rsidRPr="004E455D">
        <w:t>UL@Band-A</w:t>
      </w:r>
      <w:proofErr w:type="spellEnd"/>
      <w:r w:rsidRPr="004E455D">
        <w:t xml:space="preserve"> + </w:t>
      </w:r>
      <w:proofErr w:type="spellStart"/>
      <w:r w:rsidRPr="004E455D">
        <w:t>SUL@Band-B</w:t>
      </w:r>
      <w:proofErr w:type="spellEnd"/>
      <w:r w:rsidRPr="004E455D">
        <w:t>”</w:t>
      </w:r>
      <w:r w:rsidR="00E75922" w:rsidRPr="004E455D">
        <w:t>)?</w:t>
      </w:r>
      <w:r w:rsidRPr="004E455D">
        <w:t xml:space="preserve"> Hardware wise, this should be </w:t>
      </w:r>
      <w:r w:rsidR="00E75922" w:rsidRPr="004E455D">
        <w:t xml:space="preserve">the case </w:t>
      </w:r>
      <w:r w:rsidRPr="004E455D">
        <w:t xml:space="preserve">since </w:t>
      </w:r>
      <w:r w:rsidR="00E75922" w:rsidRPr="004E455D">
        <w:t xml:space="preserve">a </w:t>
      </w:r>
      <w:r w:rsidRPr="004E455D">
        <w:t xml:space="preserve">UE supporting </w:t>
      </w:r>
      <w:r w:rsidR="00E75922" w:rsidRPr="004E455D">
        <w:t xml:space="preserve">the </w:t>
      </w:r>
      <w:r w:rsidRPr="004E455D">
        <w:t>SUL</w:t>
      </w:r>
      <w:r w:rsidR="00E75922" w:rsidRPr="004E455D">
        <w:t xml:space="preserve">-feature and hence </w:t>
      </w:r>
      <w:r w:rsidRPr="004E455D">
        <w:t xml:space="preserve">2 ULs </w:t>
      </w:r>
      <w:r w:rsidR="00E75922" w:rsidRPr="004E455D">
        <w:t xml:space="preserve">can </w:t>
      </w:r>
      <w:r w:rsidRPr="004E455D">
        <w:t xml:space="preserve">of course also support just one UL. But </w:t>
      </w:r>
      <w:r w:rsidR="00E75922" w:rsidRPr="004E455D">
        <w:t xml:space="preserve">there could be cases where </w:t>
      </w:r>
      <w:r w:rsidRPr="004E455D">
        <w:t xml:space="preserve">RAN4 defined the requirements </w:t>
      </w:r>
      <w:r w:rsidR="00E75922" w:rsidRPr="004E455D">
        <w:t xml:space="preserve">for the </w:t>
      </w:r>
      <w:proofErr w:type="spellStart"/>
      <w:r w:rsidR="00E75922" w:rsidRPr="004E455D">
        <w:t>UL+SUL</w:t>
      </w:r>
      <w:proofErr w:type="spellEnd"/>
      <w:r w:rsidR="00E75922" w:rsidRPr="004E455D">
        <w:t xml:space="preserve"> combination</w:t>
      </w:r>
      <w:r w:rsidRPr="004E455D">
        <w:t xml:space="preserve">. If </w:t>
      </w:r>
      <w:r w:rsidR="00E75922" w:rsidRPr="004E455D">
        <w:t xml:space="preserve">such cases occur, one has to use </w:t>
      </w:r>
      <w:r w:rsidRPr="004E455D">
        <w:t xml:space="preserve">the </w:t>
      </w:r>
      <w:proofErr w:type="spellStart"/>
      <w:r w:rsidRPr="004E455D">
        <w:t>bandwidthCombinationSet</w:t>
      </w:r>
      <w:proofErr w:type="spellEnd"/>
      <w:r w:rsidRPr="004E455D">
        <w:t>: If the initially defined band combination of band A and B comprises only cases “</w:t>
      </w:r>
      <w:proofErr w:type="spellStart"/>
      <w:r w:rsidRPr="004E455D">
        <w:t>DL@Band-A</w:t>
      </w:r>
      <w:proofErr w:type="spellEnd"/>
      <w:r w:rsidRPr="004E455D">
        <w:t xml:space="preserve"> + </w:t>
      </w:r>
      <w:proofErr w:type="spellStart"/>
      <w:r w:rsidRPr="004E455D">
        <w:t>UL@Band-A</w:t>
      </w:r>
      <w:proofErr w:type="spellEnd"/>
      <w:r w:rsidRPr="004E455D">
        <w:t xml:space="preserve"> + </w:t>
      </w:r>
      <w:proofErr w:type="spellStart"/>
      <w:r w:rsidRPr="004E455D">
        <w:t>SUL@Band-B</w:t>
      </w:r>
      <w:proofErr w:type="spellEnd"/>
      <w:r w:rsidRPr="004E455D">
        <w:t>”, UEs would not be expected to support “</w:t>
      </w:r>
      <w:proofErr w:type="spellStart"/>
      <w:r w:rsidRPr="004E455D">
        <w:t>DL@Band-A</w:t>
      </w:r>
      <w:proofErr w:type="spellEnd"/>
      <w:r w:rsidRPr="004E455D">
        <w:t xml:space="preserve"> + </w:t>
      </w:r>
      <w:proofErr w:type="spellStart"/>
      <w:r w:rsidRPr="004E455D">
        <w:t>UL@Band-B</w:t>
      </w:r>
      <w:proofErr w:type="spellEnd"/>
      <w:r w:rsidRPr="004E455D">
        <w:t>”. If RAN4 introduces the combination “</w:t>
      </w:r>
      <w:proofErr w:type="spellStart"/>
      <w:r w:rsidRPr="004E455D">
        <w:t>DL@Band-A</w:t>
      </w:r>
      <w:proofErr w:type="spellEnd"/>
      <w:r w:rsidRPr="004E455D">
        <w:t xml:space="preserve"> + </w:t>
      </w:r>
      <w:proofErr w:type="spellStart"/>
      <w:r w:rsidRPr="004E455D">
        <w:t>UL@Band-B</w:t>
      </w:r>
      <w:proofErr w:type="spellEnd"/>
      <w:r w:rsidRPr="004E455D">
        <w:t xml:space="preserve">” later, they would tag it with the </w:t>
      </w:r>
      <w:proofErr w:type="spellStart"/>
      <w:r w:rsidRPr="004E455D">
        <w:t>bandwidthCombinationSet</w:t>
      </w:r>
      <w:proofErr w:type="spellEnd"/>
      <w:r w:rsidRPr="004E455D">
        <w:t xml:space="preserve">=1 later. And if a </w:t>
      </w:r>
      <w:r w:rsidR="00E75922" w:rsidRPr="004E455D">
        <w:t xml:space="preserve">later </w:t>
      </w:r>
      <w:r w:rsidRPr="004E455D">
        <w:t xml:space="preserve">UE supports only the </w:t>
      </w:r>
      <w:proofErr w:type="spellStart"/>
      <w:r w:rsidR="00E75922" w:rsidRPr="004E455D">
        <w:t>SDL+SUL</w:t>
      </w:r>
      <w:proofErr w:type="spellEnd"/>
      <w:r w:rsidR="00E75922" w:rsidRPr="004E455D">
        <w:t xml:space="preserve"> combination</w:t>
      </w:r>
      <w:r w:rsidRPr="004E455D">
        <w:t xml:space="preserve">, it can indicate that by listing only the </w:t>
      </w:r>
      <w:proofErr w:type="spellStart"/>
      <w:r w:rsidRPr="004E455D">
        <w:t>FeatureSet</w:t>
      </w:r>
      <w:proofErr w:type="spellEnd"/>
      <w:r w:rsidRPr="004E455D">
        <w:t xml:space="preserve">-ID combinations with #0 (no carriers) as explained </w:t>
      </w:r>
      <w:r w:rsidR="00E75922" w:rsidRPr="004E455D">
        <w:t>above</w:t>
      </w:r>
      <w:r w:rsidRPr="004E455D">
        <w:t>.</w:t>
      </w:r>
    </w:p>
    <w:p w14:paraId="33F6EE57" w14:textId="301D2498" w:rsidR="00311702" w:rsidRPr="004E455D" w:rsidRDefault="000B2D7C" w:rsidP="000B2D7C">
      <w:pPr>
        <w:pStyle w:val="Observation"/>
      </w:pPr>
      <w:bookmarkStart w:id="5" w:name="_Toc517387633"/>
      <w:r w:rsidRPr="004E455D">
        <w:t xml:space="preserve">The UE capability signalling </w:t>
      </w:r>
      <w:r w:rsidR="00F70728" w:rsidRPr="004E455D">
        <w:t xml:space="preserve">already </w:t>
      </w:r>
      <w:r w:rsidRPr="004E455D">
        <w:t>supports combinations of SDL and SUL bands.</w:t>
      </w:r>
      <w:bookmarkEnd w:id="5"/>
      <w:r w:rsidRPr="004E455D">
        <w:t xml:space="preserve"> </w:t>
      </w:r>
    </w:p>
    <w:p w14:paraId="53D73146" w14:textId="1BF2FEF4" w:rsidR="000B2D7C" w:rsidRPr="004E455D" w:rsidRDefault="000D7920" w:rsidP="000D7920">
      <w:pPr>
        <w:pStyle w:val="Proposal"/>
      </w:pPr>
      <w:bookmarkStart w:id="6" w:name="_Toc517387635"/>
      <w:r w:rsidRPr="004E455D">
        <w:t>C</w:t>
      </w:r>
      <w:r w:rsidR="000B2D7C" w:rsidRPr="004E455D">
        <w:t>onsider clarify</w:t>
      </w:r>
      <w:r w:rsidRPr="004E455D">
        <w:t>ing</w:t>
      </w:r>
      <w:r w:rsidR="000B2D7C" w:rsidRPr="004E455D">
        <w:t xml:space="preserve"> in 38.331 or 38.306 that band combinations including only SDL and SUL bands </w:t>
      </w:r>
      <w:r w:rsidR="00F1747C" w:rsidRPr="004E455D">
        <w:t xml:space="preserve">(and corresponding </w:t>
      </w:r>
      <w:proofErr w:type="spellStart"/>
      <w:r w:rsidR="00F1747C" w:rsidRPr="004E455D">
        <w:t>FeatureSet</w:t>
      </w:r>
      <w:proofErr w:type="spellEnd"/>
      <w:r w:rsidR="00F1747C" w:rsidRPr="004E455D">
        <w:t xml:space="preserve">-IDs) are meant to be used for serving cells </w:t>
      </w:r>
      <w:r w:rsidRPr="004E455D">
        <w:t xml:space="preserve">that </w:t>
      </w:r>
      <w:r w:rsidR="00F1747C" w:rsidRPr="004E455D">
        <w:t>combin</w:t>
      </w:r>
      <w:r w:rsidRPr="004E455D">
        <w:t>e</w:t>
      </w:r>
      <w:r w:rsidR="00F1747C" w:rsidRPr="004E455D">
        <w:t xml:space="preserve"> uplink- and downlink carriers from different bands.</w:t>
      </w:r>
      <w:bookmarkEnd w:id="6"/>
      <w:r w:rsidR="00F1747C" w:rsidRPr="004E455D">
        <w:t xml:space="preserve">  </w:t>
      </w:r>
    </w:p>
    <w:p w14:paraId="3F01BC99" w14:textId="77777777" w:rsidR="000D7920" w:rsidRPr="004E455D" w:rsidRDefault="000D7920" w:rsidP="000D7920">
      <w:pPr>
        <w:pStyle w:val="Heading1"/>
      </w:pPr>
      <w:r w:rsidRPr="004E455D">
        <w:lastRenderedPageBreak/>
        <w:t>Conclusion</w:t>
      </w:r>
    </w:p>
    <w:p w14:paraId="40AD2135" w14:textId="77777777" w:rsidR="000D7920" w:rsidRPr="004E455D" w:rsidRDefault="000D7920" w:rsidP="000D7920">
      <w:pPr>
        <w:pStyle w:val="BodyText"/>
        <w:rPr>
          <w:b/>
          <w:bCs/>
        </w:rPr>
      </w:pPr>
      <w:r w:rsidRPr="004E455D">
        <w:t>In the previous sections we made the following observations:</w:t>
      </w:r>
      <w:r w:rsidRPr="004E455D">
        <w:rPr>
          <w:b/>
          <w:bCs/>
        </w:rPr>
        <w:t xml:space="preserve"> </w:t>
      </w:r>
    </w:p>
    <w:p w14:paraId="4C2A2BE1" w14:textId="15EE33D2" w:rsidR="00CD23D8" w:rsidRDefault="000D7920">
      <w:pPr>
        <w:pStyle w:val="TableofFigures"/>
        <w:tabs>
          <w:tab w:val="right" w:leader="dot" w:pos="9629"/>
        </w:tabs>
        <w:rPr>
          <w:rFonts w:asciiTheme="minorHAnsi" w:eastAsiaTheme="minorEastAsia" w:hAnsiTheme="minorHAnsi" w:cstheme="minorBidi"/>
          <w:b w:val="0"/>
          <w:noProof/>
          <w:sz w:val="22"/>
          <w:szCs w:val="22"/>
          <w:lang w:eastAsia="en-GB"/>
        </w:rPr>
      </w:pPr>
      <w:r w:rsidRPr="004E455D">
        <w:rPr>
          <w:b w:val="0"/>
          <w:bCs/>
        </w:rPr>
        <w:fldChar w:fldCharType="begin"/>
      </w:r>
      <w:r w:rsidRPr="004E455D">
        <w:rPr>
          <w:b w:val="0"/>
          <w:bCs/>
        </w:rPr>
        <w:instrText xml:space="preserve"> TOC \f O \n \h \z \t "Observation" \c </w:instrText>
      </w:r>
      <w:r w:rsidRPr="004E455D">
        <w:rPr>
          <w:b w:val="0"/>
          <w:bCs/>
        </w:rPr>
        <w:fldChar w:fldCharType="separate"/>
      </w:r>
      <w:hyperlink w:anchor="_Toc517387631" w:history="1">
        <w:r w:rsidR="00CD23D8" w:rsidRPr="00EA3CDA">
          <w:rPr>
            <w:rStyle w:val="Hyperlink"/>
            <w:noProof/>
          </w:rPr>
          <w:t>Observation 1</w:t>
        </w:r>
        <w:r w:rsidR="00CD23D8">
          <w:rPr>
            <w:rFonts w:asciiTheme="minorHAnsi" w:eastAsiaTheme="minorEastAsia" w:hAnsiTheme="minorHAnsi" w:cstheme="minorBidi"/>
            <w:b w:val="0"/>
            <w:noProof/>
            <w:sz w:val="22"/>
            <w:szCs w:val="22"/>
            <w:lang w:eastAsia="en-GB"/>
          </w:rPr>
          <w:tab/>
        </w:r>
        <w:r w:rsidR="00CD23D8" w:rsidRPr="00EA3CDA">
          <w:rPr>
            <w:rStyle w:val="Hyperlink"/>
            <w:noProof/>
          </w:rPr>
          <w:t>RAN2 agreed already in the previous meeting that the RRCReconfiguration supports already the configuration of serving cells with one downlink and one uplink carrier from different (SDL- and SUL-) bands.</w:t>
        </w:r>
      </w:hyperlink>
    </w:p>
    <w:p w14:paraId="08E2444A" w14:textId="2C165A6A" w:rsidR="00CD23D8" w:rsidRDefault="00CD23D8">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632" w:history="1">
        <w:r w:rsidRPr="00EA3CDA">
          <w:rPr>
            <w:rStyle w:val="Hyperlink"/>
            <w:noProof/>
          </w:rPr>
          <w:t>Observation 2</w:t>
        </w:r>
        <w:r>
          <w:rPr>
            <w:rFonts w:asciiTheme="minorHAnsi" w:eastAsiaTheme="minorEastAsia" w:hAnsiTheme="minorHAnsi" w:cstheme="minorBidi"/>
            <w:b w:val="0"/>
            <w:noProof/>
            <w:sz w:val="22"/>
            <w:szCs w:val="22"/>
            <w:lang w:eastAsia="en-GB"/>
          </w:rPr>
          <w:tab/>
        </w:r>
        <w:r w:rsidRPr="00EA3CDA">
          <w:rPr>
            <w:rStyle w:val="Hyperlink"/>
            <w:noProof/>
          </w:rPr>
          <w:t>RAN2 concluded that the “SUL functionality” introduced in NR is not needed to support such deployments, unless the NW intends to configure UEs with two UL carriers within a serving cell (which was not the request from RAN plenary).</w:t>
        </w:r>
      </w:hyperlink>
    </w:p>
    <w:p w14:paraId="6B626D6C" w14:textId="7C995C31" w:rsidR="00CD23D8" w:rsidRDefault="00CD23D8">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633" w:history="1">
        <w:r w:rsidRPr="00EA3CDA">
          <w:rPr>
            <w:rStyle w:val="Hyperlink"/>
            <w:noProof/>
          </w:rPr>
          <w:t>Observation 3</w:t>
        </w:r>
        <w:r>
          <w:rPr>
            <w:rFonts w:asciiTheme="minorHAnsi" w:eastAsiaTheme="minorEastAsia" w:hAnsiTheme="minorHAnsi" w:cstheme="minorBidi"/>
            <w:b w:val="0"/>
            <w:noProof/>
            <w:sz w:val="22"/>
            <w:szCs w:val="22"/>
            <w:lang w:eastAsia="en-GB"/>
          </w:rPr>
          <w:tab/>
        </w:r>
        <w:r w:rsidRPr="00EA3CDA">
          <w:rPr>
            <w:rStyle w:val="Hyperlink"/>
            <w:noProof/>
          </w:rPr>
          <w:t>The UE capability signalling already supports combinations of SDL and SUL bands.</w:t>
        </w:r>
      </w:hyperlink>
    </w:p>
    <w:p w14:paraId="413FA48E" w14:textId="429E40D6" w:rsidR="000D7920" w:rsidRPr="004E455D" w:rsidRDefault="000D7920" w:rsidP="000D7920">
      <w:pPr>
        <w:pStyle w:val="BodyText"/>
        <w:rPr>
          <w:b/>
          <w:bCs/>
        </w:rPr>
      </w:pPr>
      <w:r w:rsidRPr="004E455D">
        <w:rPr>
          <w:b/>
          <w:bCs/>
        </w:rPr>
        <w:fldChar w:fldCharType="end"/>
      </w:r>
    </w:p>
    <w:p w14:paraId="178C69C5" w14:textId="77777777" w:rsidR="000D7920" w:rsidRPr="004E455D" w:rsidRDefault="000D7920" w:rsidP="000D7920">
      <w:pPr>
        <w:pStyle w:val="BodyText"/>
      </w:pPr>
      <w:r w:rsidRPr="004E455D">
        <w:t>Based on the discussion in the previous sections we propose the following:</w:t>
      </w:r>
    </w:p>
    <w:p w14:paraId="66E3BC49" w14:textId="672229F5" w:rsidR="00CD23D8" w:rsidRDefault="000D7920">
      <w:pPr>
        <w:pStyle w:val="TableofFigures"/>
        <w:tabs>
          <w:tab w:val="right" w:leader="dot" w:pos="9629"/>
        </w:tabs>
        <w:rPr>
          <w:rFonts w:asciiTheme="minorHAnsi" w:eastAsiaTheme="minorEastAsia" w:hAnsiTheme="minorHAnsi" w:cstheme="minorBidi"/>
          <w:b w:val="0"/>
          <w:noProof/>
          <w:sz w:val="22"/>
          <w:szCs w:val="22"/>
          <w:lang w:eastAsia="en-GB"/>
        </w:rPr>
      </w:pPr>
      <w:r w:rsidRPr="004E455D">
        <w:rPr>
          <w:b w:val="0"/>
          <w:bCs/>
        </w:rPr>
        <w:fldChar w:fldCharType="begin"/>
      </w:r>
      <w:r w:rsidRPr="004E455D">
        <w:rPr>
          <w:b w:val="0"/>
          <w:bCs/>
        </w:rPr>
        <w:instrText xml:space="preserve"> TOC \n \h \z \t "Proposal" \c </w:instrText>
      </w:r>
      <w:r w:rsidRPr="004E455D">
        <w:rPr>
          <w:b w:val="0"/>
          <w:bCs/>
        </w:rPr>
        <w:fldChar w:fldCharType="separate"/>
      </w:r>
      <w:hyperlink w:anchor="_Toc517387634" w:history="1">
        <w:r w:rsidR="00CD23D8" w:rsidRPr="00C94BF1">
          <w:rPr>
            <w:rStyle w:val="Hyperlink"/>
            <w:noProof/>
          </w:rPr>
          <w:t>Proposal 1</w:t>
        </w:r>
        <w:r w:rsidR="00CD23D8">
          <w:rPr>
            <w:rFonts w:asciiTheme="minorHAnsi" w:eastAsiaTheme="minorEastAsia" w:hAnsiTheme="minorHAnsi" w:cstheme="minorBidi"/>
            <w:b w:val="0"/>
            <w:noProof/>
            <w:sz w:val="22"/>
            <w:szCs w:val="22"/>
            <w:lang w:eastAsia="en-GB"/>
          </w:rPr>
          <w:tab/>
        </w:r>
        <w:r w:rsidR="00CD23D8" w:rsidRPr="00C94BF1">
          <w:rPr>
            <w:rStyle w:val="Hyperlink"/>
            <w:noProof/>
          </w:rPr>
          <w:t>If a serving cell contains one TDD and one FDD carriers, the TDD configurations (if configured) apply only to the TDD carrier(s). For the FDD carrier(s) it considers all slots as available or transmission or reception (in accdordance with the configured direction).</w:t>
        </w:r>
      </w:hyperlink>
    </w:p>
    <w:p w14:paraId="49BB2797" w14:textId="261212AE" w:rsidR="00CD23D8" w:rsidRDefault="00CD23D8">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635" w:history="1">
        <w:r w:rsidRPr="00C94BF1">
          <w:rPr>
            <w:rStyle w:val="Hyperlink"/>
            <w:noProof/>
          </w:rPr>
          <w:t>Proposal 2</w:t>
        </w:r>
        <w:r>
          <w:rPr>
            <w:rFonts w:asciiTheme="minorHAnsi" w:eastAsiaTheme="minorEastAsia" w:hAnsiTheme="minorHAnsi" w:cstheme="minorBidi"/>
            <w:b w:val="0"/>
            <w:noProof/>
            <w:sz w:val="22"/>
            <w:szCs w:val="22"/>
            <w:lang w:eastAsia="en-GB"/>
          </w:rPr>
          <w:tab/>
        </w:r>
        <w:r w:rsidRPr="00C94BF1">
          <w:rPr>
            <w:rStyle w:val="Hyperlink"/>
            <w:noProof/>
          </w:rPr>
          <w:t>Consider clarifying in 38.331 or 38.306 that band combinations including only SDL and SUL bands (and corresponding FeatureSet-IDs) are meant to be used for serving cells that combine uplink- and downlink carriers from different bands.</w:t>
        </w:r>
      </w:hyperlink>
    </w:p>
    <w:p w14:paraId="3A87CA37" w14:textId="7FB53CA0" w:rsidR="000D7920" w:rsidRPr="004E455D" w:rsidRDefault="000D7920" w:rsidP="000D7920">
      <w:pPr>
        <w:pStyle w:val="BodyText"/>
        <w:rPr>
          <w:b/>
          <w:bCs/>
        </w:rPr>
      </w:pPr>
      <w:r w:rsidRPr="004E455D">
        <w:rPr>
          <w:b/>
          <w:bCs/>
        </w:rPr>
        <w:fldChar w:fldCharType="end"/>
      </w:r>
      <w:r w:rsidRPr="004E455D">
        <w:rPr>
          <w:b/>
          <w:bCs/>
        </w:rPr>
        <w:t xml:space="preserve"> </w:t>
      </w:r>
    </w:p>
    <w:p w14:paraId="765E4CA3" w14:textId="77777777" w:rsidR="00F507D1" w:rsidRPr="004E455D" w:rsidRDefault="00F507D1" w:rsidP="00CE0424">
      <w:pPr>
        <w:pStyle w:val="Heading1"/>
      </w:pPr>
      <w:bookmarkStart w:id="7" w:name="_In-sequence_SDU_delivery"/>
      <w:bookmarkEnd w:id="7"/>
      <w:r w:rsidRPr="004E455D">
        <w:t>References</w:t>
      </w:r>
    </w:p>
    <w:bookmarkStart w:id="8" w:name="_Ref517189638"/>
    <w:bookmarkStart w:id="9" w:name="_Ref174151459"/>
    <w:bookmarkStart w:id="10" w:name="_Ref189809556"/>
    <w:p w14:paraId="1AAEFF61" w14:textId="1C593EE2" w:rsidR="005F3025" w:rsidRPr="004E455D" w:rsidRDefault="00C8746E" w:rsidP="005D0DEB">
      <w:pPr>
        <w:pStyle w:val="Reference"/>
      </w:pPr>
      <w:r w:rsidRPr="004E455D">
        <w:fldChar w:fldCharType="begin"/>
      </w:r>
      <w:r w:rsidRPr="004E455D">
        <w:instrText xml:space="preserve"> HYPERLINK "ftp://ftp.3gpp.org/tsg_ran/WG2_RL2/TSRG2_102/Docs//R2-1808781.zip" </w:instrText>
      </w:r>
      <w:r w:rsidRPr="004E455D">
        <w:fldChar w:fldCharType="separate"/>
      </w:r>
      <w:r w:rsidR="005D0DEB" w:rsidRPr="004E455D">
        <w:rPr>
          <w:rStyle w:val="Hyperlink"/>
        </w:rPr>
        <w:t>R2-1808781</w:t>
      </w:r>
      <w:r w:rsidRPr="004E455D">
        <w:fldChar w:fldCharType="end"/>
      </w:r>
      <w:r w:rsidR="005D0DEB" w:rsidRPr="004E455D">
        <w:t>, Report from Break-Out Session, Session Chair (Ericsson), RAN2-102; Busan, South Korea</w:t>
      </w:r>
      <w:bookmarkEnd w:id="8"/>
    </w:p>
    <w:bookmarkStart w:id="11" w:name="_Ref517189631"/>
    <w:p w14:paraId="16D0A4CE" w14:textId="4547FF2E" w:rsidR="005D0DEB" w:rsidRPr="004E455D" w:rsidRDefault="005D0DEB" w:rsidP="005D0DEB">
      <w:pPr>
        <w:pStyle w:val="Reference"/>
      </w:pPr>
      <w:r w:rsidRPr="004E455D">
        <w:fldChar w:fldCharType="begin"/>
      </w:r>
      <w:r w:rsidRPr="004E455D">
        <w:instrText xml:space="preserve"> HYPERLINK "http://www.3gpp.org/ftp/tsg_Ran/tsg_Ran/TSGR_80/Docs/RP-181465.zip" </w:instrText>
      </w:r>
      <w:r w:rsidRPr="004E455D">
        <w:fldChar w:fldCharType="separate"/>
      </w:r>
      <w:r w:rsidRPr="004E455D">
        <w:rPr>
          <w:rStyle w:val="Hyperlink"/>
        </w:rPr>
        <w:t>RP-181465</w:t>
      </w:r>
      <w:r w:rsidRPr="004E455D">
        <w:fldChar w:fldCharType="end"/>
      </w:r>
      <w:r w:rsidRPr="004E455D">
        <w:t xml:space="preserve">, </w:t>
      </w:r>
      <w:proofErr w:type="spellStart"/>
      <w:r w:rsidRPr="004E455D">
        <w:t>WF</w:t>
      </w:r>
      <w:proofErr w:type="spellEnd"/>
      <w:r w:rsidRPr="004E455D">
        <w:t xml:space="preserve"> on SDL and SUL pairings, RAN-80; La Jolla, USA, 11th June – 14th June 2018</w:t>
      </w:r>
      <w:bookmarkEnd w:id="11"/>
    </w:p>
    <w:bookmarkEnd w:id="9"/>
    <w:bookmarkEnd w:id="10"/>
    <w:p w14:paraId="68336368" w14:textId="77777777" w:rsidR="003A7EF3" w:rsidRPr="004E455D" w:rsidRDefault="003A7EF3" w:rsidP="00CE0424">
      <w:pPr>
        <w:pStyle w:val="BodyText"/>
      </w:pPr>
    </w:p>
    <w:sectPr w:rsidR="003A7EF3" w:rsidRPr="004E455D" w:rsidSect="00C473A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3B5BD" w14:textId="77777777" w:rsidR="000A072D" w:rsidRDefault="000A072D">
      <w:r>
        <w:separator/>
      </w:r>
    </w:p>
  </w:endnote>
  <w:endnote w:type="continuationSeparator" w:id="0">
    <w:p w14:paraId="6803A637" w14:textId="77777777" w:rsidR="000A072D" w:rsidRDefault="000A0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ED3C8" w14:textId="77777777" w:rsidR="00C71E3C" w:rsidRDefault="00C71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E85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E91D" w14:textId="77777777" w:rsidR="00C71E3C" w:rsidRDefault="00C71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434A5" w14:textId="77777777" w:rsidR="000A072D" w:rsidRDefault="000A072D">
      <w:r>
        <w:separator/>
      </w:r>
    </w:p>
  </w:footnote>
  <w:footnote w:type="continuationSeparator" w:id="0">
    <w:p w14:paraId="41566B05" w14:textId="77777777" w:rsidR="000A072D" w:rsidRDefault="000A0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ED0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25B99" w14:textId="77777777" w:rsidR="00C71E3C" w:rsidRDefault="00C71E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0D953" w14:textId="77777777" w:rsidR="00C71E3C" w:rsidRDefault="00C71E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72D"/>
    <w:rsid w:val="000006E1"/>
    <w:rsid w:val="00002A37"/>
    <w:rsid w:val="0000564C"/>
    <w:rsid w:val="00006446"/>
    <w:rsid w:val="00006896"/>
    <w:rsid w:val="00007CDC"/>
    <w:rsid w:val="00011B28"/>
    <w:rsid w:val="00015D15"/>
    <w:rsid w:val="0002564D"/>
    <w:rsid w:val="00025ECA"/>
    <w:rsid w:val="000325B8"/>
    <w:rsid w:val="00034C15"/>
    <w:rsid w:val="00035D55"/>
    <w:rsid w:val="00036BA1"/>
    <w:rsid w:val="000422E2"/>
    <w:rsid w:val="00042F22"/>
    <w:rsid w:val="000444EF"/>
    <w:rsid w:val="00052A07"/>
    <w:rsid w:val="000534E3"/>
    <w:rsid w:val="0005606A"/>
    <w:rsid w:val="00057117"/>
    <w:rsid w:val="000616E7"/>
    <w:rsid w:val="00062827"/>
    <w:rsid w:val="0006487E"/>
    <w:rsid w:val="00065E1A"/>
    <w:rsid w:val="00077E5F"/>
    <w:rsid w:val="0008036A"/>
    <w:rsid w:val="00081AE6"/>
    <w:rsid w:val="000855EB"/>
    <w:rsid w:val="00085B52"/>
    <w:rsid w:val="000866F2"/>
    <w:rsid w:val="0009009F"/>
    <w:rsid w:val="0009059C"/>
    <w:rsid w:val="00091557"/>
    <w:rsid w:val="000924C1"/>
    <w:rsid w:val="000924F0"/>
    <w:rsid w:val="00093474"/>
    <w:rsid w:val="0009510F"/>
    <w:rsid w:val="000A072D"/>
    <w:rsid w:val="000A1B7B"/>
    <w:rsid w:val="000A56F2"/>
    <w:rsid w:val="000B2719"/>
    <w:rsid w:val="000B2D7C"/>
    <w:rsid w:val="000B3A8F"/>
    <w:rsid w:val="000B4AB9"/>
    <w:rsid w:val="000B58C3"/>
    <w:rsid w:val="000B61E9"/>
    <w:rsid w:val="000C165A"/>
    <w:rsid w:val="000C2E19"/>
    <w:rsid w:val="000D0D07"/>
    <w:rsid w:val="000D4797"/>
    <w:rsid w:val="000D7920"/>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1D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96E"/>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8EF"/>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6279"/>
    <w:rsid w:val="004D36B1"/>
    <w:rsid w:val="004D7EBD"/>
    <w:rsid w:val="004E2680"/>
    <w:rsid w:val="004E28F9"/>
    <w:rsid w:val="004E455D"/>
    <w:rsid w:val="004E462E"/>
    <w:rsid w:val="004E56DC"/>
    <w:rsid w:val="004E76F4"/>
    <w:rsid w:val="004F0B4E"/>
    <w:rsid w:val="004F0B6C"/>
    <w:rsid w:val="004F2078"/>
    <w:rsid w:val="004F4DA3"/>
    <w:rsid w:val="0050185F"/>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DE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03C6"/>
    <w:rsid w:val="008444E8"/>
    <w:rsid w:val="00844E80"/>
    <w:rsid w:val="008466B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A8D"/>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039D"/>
    <w:rsid w:val="00C473A5"/>
    <w:rsid w:val="00C54995"/>
    <w:rsid w:val="00C54D41"/>
    <w:rsid w:val="00C60783"/>
    <w:rsid w:val="00C64672"/>
    <w:rsid w:val="00C70697"/>
    <w:rsid w:val="00C71E3C"/>
    <w:rsid w:val="00C72093"/>
    <w:rsid w:val="00C72EF4"/>
    <w:rsid w:val="00C744FE"/>
    <w:rsid w:val="00C75D2F"/>
    <w:rsid w:val="00C767BE"/>
    <w:rsid w:val="00C76E3C"/>
    <w:rsid w:val="00C81568"/>
    <w:rsid w:val="00C8746E"/>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3D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0F2"/>
    <w:rsid w:val="00D86CA3"/>
    <w:rsid w:val="00D871CE"/>
    <w:rsid w:val="00D9196D"/>
    <w:rsid w:val="00D92982"/>
    <w:rsid w:val="00DA305E"/>
    <w:rsid w:val="00DA5417"/>
    <w:rsid w:val="00DA56E8"/>
    <w:rsid w:val="00DB0A9F"/>
    <w:rsid w:val="00DB377D"/>
    <w:rsid w:val="00DC2D36"/>
    <w:rsid w:val="00DC53EF"/>
    <w:rsid w:val="00DE2F8C"/>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922"/>
    <w:rsid w:val="00E8234C"/>
    <w:rsid w:val="00E83AA9"/>
    <w:rsid w:val="00E85928"/>
    <w:rsid w:val="00E87822"/>
    <w:rsid w:val="00E90395"/>
    <w:rsid w:val="00E90E49"/>
    <w:rsid w:val="00E917F9"/>
    <w:rsid w:val="00E9250F"/>
    <w:rsid w:val="00E9291C"/>
    <w:rsid w:val="00E93FFE"/>
    <w:rsid w:val="00E94F8A"/>
    <w:rsid w:val="00EA7A41"/>
    <w:rsid w:val="00EB077B"/>
    <w:rsid w:val="00EB4EA2"/>
    <w:rsid w:val="00EC24D5"/>
    <w:rsid w:val="00EC27C6"/>
    <w:rsid w:val="00EC4207"/>
    <w:rsid w:val="00EC5653"/>
    <w:rsid w:val="00EC6972"/>
    <w:rsid w:val="00EC71CE"/>
    <w:rsid w:val="00ED1006"/>
    <w:rsid w:val="00EF18FE"/>
    <w:rsid w:val="00EF5787"/>
    <w:rsid w:val="00EF60D0"/>
    <w:rsid w:val="00F0528D"/>
    <w:rsid w:val="00F06C67"/>
    <w:rsid w:val="00F06DFD"/>
    <w:rsid w:val="00F071D1"/>
    <w:rsid w:val="00F07533"/>
    <w:rsid w:val="00F10629"/>
    <w:rsid w:val="00F15FA5"/>
    <w:rsid w:val="00F1747C"/>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728"/>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08E"/>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870E5"/>
  <w15:chartTrackingRefBased/>
  <w15:docId w15:val="{98947148-6A8A-4385-9BF6-E5693BC0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60F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860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860F2"/>
    <w:pPr>
      <w:pBdr>
        <w:top w:val="none" w:sz="0" w:space="0" w:color="auto"/>
      </w:pBdr>
      <w:spacing w:before="180"/>
      <w:outlineLvl w:val="1"/>
    </w:pPr>
    <w:rPr>
      <w:sz w:val="32"/>
    </w:rPr>
  </w:style>
  <w:style w:type="paragraph" w:styleId="Heading3">
    <w:name w:val="heading 3"/>
    <w:basedOn w:val="Heading2"/>
    <w:next w:val="Normal"/>
    <w:link w:val="Heading3Char"/>
    <w:qFormat/>
    <w:rsid w:val="00D860F2"/>
    <w:pPr>
      <w:spacing w:before="120"/>
      <w:outlineLvl w:val="2"/>
    </w:pPr>
    <w:rPr>
      <w:sz w:val="28"/>
    </w:rPr>
  </w:style>
  <w:style w:type="paragraph" w:styleId="Heading4">
    <w:name w:val="heading 4"/>
    <w:basedOn w:val="Heading3"/>
    <w:next w:val="Normal"/>
    <w:link w:val="Heading4Char"/>
    <w:qFormat/>
    <w:rsid w:val="00D860F2"/>
    <w:pPr>
      <w:ind w:left="1418" w:hanging="1418"/>
      <w:outlineLvl w:val="3"/>
    </w:pPr>
    <w:rPr>
      <w:sz w:val="24"/>
    </w:rPr>
  </w:style>
  <w:style w:type="paragraph" w:styleId="Heading5">
    <w:name w:val="heading 5"/>
    <w:basedOn w:val="Heading4"/>
    <w:next w:val="Normal"/>
    <w:link w:val="Heading5Char"/>
    <w:qFormat/>
    <w:rsid w:val="00D860F2"/>
    <w:pPr>
      <w:ind w:left="1701" w:hanging="1701"/>
      <w:outlineLvl w:val="4"/>
    </w:pPr>
    <w:rPr>
      <w:sz w:val="22"/>
    </w:rPr>
  </w:style>
  <w:style w:type="paragraph" w:styleId="Heading6">
    <w:name w:val="heading 6"/>
    <w:basedOn w:val="H6"/>
    <w:next w:val="Normal"/>
    <w:link w:val="Heading6Char"/>
    <w:qFormat/>
    <w:rsid w:val="00D860F2"/>
    <w:pPr>
      <w:outlineLvl w:val="5"/>
    </w:pPr>
  </w:style>
  <w:style w:type="paragraph" w:styleId="Heading7">
    <w:name w:val="heading 7"/>
    <w:basedOn w:val="H6"/>
    <w:next w:val="Normal"/>
    <w:link w:val="Heading7Char"/>
    <w:qFormat/>
    <w:rsid w:val="00D860F2"/>
    <w:pPr>
      <w:outlineLvl w:val="6"/>
    </w:pPr>
  </w:style>
  <w:style w:type="paragraph" w:styleId="Heading8">
    <w:name w:val="heading 8"/>
    <w:basedOn w:val="Heading1"/>
    <w:next w:val="Normal"/>
    <w:link w:val="Heading8Char"/>
    <w:qFormat/>
    <w:rsid w:val="00D860F2"/>
    <w:pPr>
      <w:ind w:left="0" w:firstLine="0"/>
      <w:outlineLvl w:val="7"/>
    </w:pPr>
  </w:style>
  <w:style w:type="paragraph" w:styleId="Heading9">
    <w:name w:val="heading 9"/>
    <w:basedOn w:val="Heading8"/>
    <w:next w:val="Normal"/>
    <w:link w:val="Heading9Char"/>
    <w:qFormat/>
    <w:rsid w:val="00D860F2"/>
    <w:pPr>
      <w:outlineLvl w:val="8"/>
    </w:pPr>
  </w:style>
  <w:style w:type="character" w:default="1" w:styleId="DefaultParagraphFont">
    <w:name w:val="Default Paragraph Font"/>
    <w:uiPriority w:val="1"/>
    <w:semiHidden/>
    <w:unhideWhenUsed/>
    <w:rsid w:val="00D860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60F2"/>
  </w:style>
  <w:style w:type="paragraph" w:styleId="TOC8">
    <w:name w:val="toc 8"/>
    <w:basedOn w:val="TOC1"/>
    <w:uiPriority w:val="39"/>
    <w:rsid w:val="00D860F2"/>
    <w:pPr>
      <w:spacing w:before="180"/>
      <w:ind w:left="2693" w:hanging="2693"/>
    </w:pPr>
    <w:rPr>
      <w:b/>
    </w:rPr>
  </w:style>
  <w:style w:type="paragraph" w:styleId="TOC1">
    <w:name w:val="toc 1"/>
    <w:uiPriority w:val="39"/>
    <w:rsid w:val="00D860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860F2"/>
    <w:pPr>
      <w:keepNext/>
      <w:keepLines/>
      <w:spacing w:before="180"/>
      <w:jc w:val="center"/>
    </w:pPr>
  </w:style>
  <w:style w:type="paragraph" w:styleId="Caption">
    <w:name w:val="caption"/>
    <w:basedOn w:val="Normal"/>
    <w:next w:val="Normal"/>
    <w:qFormat/>
    <w:rsid w:val="00D860F2"/>
    <w:pPr>
      <w:spacing w:before="120" w:after="120"/>
    </w:pPr>
    <w:rPr>
      <w:b/>
      <w:lang w:eastAsia="en-GB"/>
    </w:rPr>
  </w:style>
  <w:style w:type="paragraph" w:styleId="TOC5">
    <w:name w:val="toc 5"/>
    <w:basedOn w:val="TOC4"/>
    <w:uiPriority w:val="39"/>
    <w:rsid w:val="00D860F2"/>
    <w:pPr>
      <w:ind w:left="1701" w:hanging="1701"/>
    </w:pPr>
  </w:style>
  <w:style w:type="paragraph" w:styleId="TOC4">
    <w:name w:val="toc 4"/>
    <w:basedOn w:val="TOC3"/>
    <w:uiPriority w:val="39"/>
    <w:rsid w:val="00D860F2"/>
    <w:pPr>
      <w:ind w:left="1418" w:hanging="1418"/>
    </w:pPr>
  </w:style>
  <w:style w:type="paragraph" w:styleId="TOC3">
    <w:name w:val="toc 3"/>
    <w:basedOn w:val="TOC2"/>
    <w:uiPriority w:val="39"/>
    <w:rsid w:val="00D860F2"/>
    <w:pPr>
      <w:ind w:left="1134" w:hanging="1134"/>
    </w:pPr>
  </w:style>
  <w:style w:type="paragraph" w:styleId="TOC2">
    <w:name w:val="toc 2"/>
    <w:basedOn w:val="TOC1"/>
    <w:uiPriority w:val="39"/>
    <w:rsid w:val="00D860F2"/>
    <w:pPr>
      <w:keepNext w:val="0"/>
      <w:spacing w:before="0"/>
      <w:ind w:left="851" w:hanging="851"/>
    </w:pPr>
    <w:rPr>
      <w:sz w:val="20"/>
    </w:rPr>
  </w:style>
  <w:style w:type="paragraph" w:styleId="Index2">
    <w:name w:val="index 2"/>
    <w:basedOn w:val="Index1"/>
    <w:rsid w:val="00D860F2"/>
    <w:pPr>
      <w:ind w:left="284"/>
    </w:pPr>
  </w:style>
  <w:style w:type="paragraph" w:styleId="Index1">
    <w:name w:val="index 1"/>
    <w:basedOn w:val="Normal"/>
    <w:rsid w:val="00D860F2"/>
    <w:pPr>
      <w:keepLines/>
      <w:spacing w:after="0"/>
    </w:pPr>
  </w:style>
  <w:style w:type="paragraph" w:styleId="DocumentMap">
    <w:name w:val="Document Map"/>
    <w:basedOn w:val="Normal"/>
    <w:link w:val="DocumentMapChar"/>
    <w:rsid w:val="00D860F2"/>
    <w:pPr>
      <w:shd w:val="clear" w:color="auto" w:fill="000080"/>
    </w:pPr>
    <w:rPr>
      <w:rFonts w:ascii="Tahoma" w:hAnsi="Tahoma" w:cs="Tahoma"/>
    </w:rPr>
  </w:style>
  <w:style w:type="paragraph" w:styleId="ListNumber2">
    <w:name w:val="List Number 2"/>
    <w:basedOn w:val="ListNumber"/>
    <w:rsid w:val="00D860F2"/>
    <w:pPr>
      <w:numPr>
        <w:numId w:val="22"/>
      </w:numPr>
    </w:pPr>
  </w:style>
  <w:style w:type="paragraph" w:styleId="ListNumber">
    <w:name w:val="List Number"/>
    <w:basedOn w:val="List"/>
    <w:rsid w:val="00D860F2"/>
    <w:pPr>
      <w:numPr>
        <w:numId w:val="21"/>
      </w:numPr>
    </w:pPr>
    <w:rPr>
      <w:lang w:eastAsia="ja-JP"/>
    </w:rPr>
  </w:style>
  <w:style w:type="paragraph" w:styleId="List">
    <w:name w:val="List"/>
    <w:basedOn w:val="BodyText"/>
    <w:rsid w:val="00D860F2"/>
    <w:pPr>
      <w:ind w:left="568" w:hanging="284"/>
    </w:pPr>
  </w:style>
  <w:style w:type="paragraph" w:styleId="Header">
    <w:name w:val="header"/>
    <w:link w:val="HeaderChar"/>
    <w:rsid w:val="00D860F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860F2"/>
    <w:rPr>
      <w:b/>
      <w:position w:val="6"/>
      <w:sz w:val="16"/>
    </w:rPr>
  </w:style>
  <w:style w:type="paragraph" w:styleId="FootnoteText">
    <w:name w:val="footnote text"/>
    <w:basedOn w:val="Normal"/>
    <w:link w:val="FootnoteTextChar"/>
    <w:rsid w:val="00D860F2"/>
    <w:pPr>
      <w:keepLines/>
      <w:spacing w:after="0"/>
      <w:ind w:left="454" w:hanging="454"/>
    </w:pPr>
    <w:rPr>
      <w:sz w:val="16"/>
    </w:rPr>
  </w:style>
  <w:style w:type="paragraph" w:customStyle="1" w:styleId="3GPPHeader">
    <w:name w:val="3GPP_Header"/>
    <w:basedOn w:val="BodyText"/>
    <w:rsid w:val="00D860F2"/>
    <w:pPr>
      <w:tabs>
        <w:tab w:val="left" w:pos="1701"/>
        <w:tab w:val="right" w:pos="9639"/>
      </w:tabs>
      <w:spacing w:after="240"/>
    </w:pPr>
    <w:rPr>
      <w:b/>
      <w:sz w:val="24"/>
    </w:rPr>
  </w:style>
  <w:style w:type="paragraph" w:styleId="TOC9">
    <w:name w:val="toc 9"/>
    <w:basedOn w:val="TOC8"/>
    <w:uiPriority w:val="39"/>
    <w:rsid w:val="00D860F2"/>
    <w:pPr>
      <w:ind w:left="1418" w:hanging="1418"/>
    </w:pPr>
  </w:style>
  <w:style w:type="paragraph" w:styleId="TOC6">
    <w:name w:val="toc 6"/>
    <w:basedOn w:val="TOC5"/>
    <w:next w:val="Normal"/>
    <w:uiPriority w:val="39"/>
    <w:rsid w:val="00D860F2"/>
    <w:pPr>
      <w:ind w:left="1985" w:hanging="1985"/>
    </w:pPr>
  </w:style>
  <w:style w:type="paragraph" w:styleId="TOC7">
    <w:name w:val="toc 7"/>
    <w:basedOn w:val="TOC6"/>
    <w:next w:val="Normal"/>
    <w:uiPriority w:val="39"/>
    <w:rsid w:val="00D860F2"/>
    <w:pPr>
      <w:ind w:left="2268" w:hanging="2268"/>
    </w:pPr>
  </w:style>
  <w:style w:type="paragraph" w:styleId="ListBullet2">
    <w:name w:val="List Bullet 2"/>
    <w:basedOn w:val="ListBullet"/>
    <w:rsid w:val="00D860F2"/>
    <w:pPr>
      <w:numPr>
        <w:numId w:val="17"/>
      </w:numPr>
    </w:pPr>
  </w:style>
  <w:style w:type="paragraph" w:styleId="ListBullet">
    <w:name w:val="List Bullet"/>
    <w:basedOn w:val="List"/>
    <w:rsid w:val="00D860F2"/>
    <w:pPr>
      <w:numPr>
        <w:numId w:val="16"/>
      </w:numPr>
    </w:pPr>
    <w:rPr>
      <w:lang w:eastAsia="ja-JP"/>
    </w:rPr>
  </w:style>
  <w:style w:type="paragraph" w:styleId="ListBullet3">
    <w:name w:val="List Bullet 3"/>
    <w:basedOn w:val="ListBullet2"/>
    <w:rsid w:val="00D860F2"/>
    <w:pPr>
      <w:numPr>
        <w:numId w:val="18"/>
      </w:numPr>
    </w:pPr>
  </w:style>
  <w:style w:type="paragraph" w:customStyle="1" w:styleId="EQ">
    <w:name w:val="EQ"/>
    <w:basedOn w:val="Normal"/>
    <w:next w:val="Normal"/>
    <w:rsid w:val="00D860F2"/>
    <w:pPr>
      <w:keepLines/>
      <w:tabs>
        <w:tab w:val="center" w:pos="4536"/>
        <w:tab w:val="right" w:pos="9072"/>
      </w:tabs>
    </w:pPr>
    <w:rPr>
      <w:noProof/>
    </w:rPr>
  </w:style>
  <w:style w:type="paragraph" w:styleId="List2">
    <w:name w:val="List 2"/>
    <w:basedOn w:val="List"/>
    <w:rsid w:val="00D860F2"/>
    <w:pPr>
      <w:ind w:left="851"/>
    </w:pPr>
    <w:rPr>
      <w:lang w:eastAsia="ja-JP"/>
    </w:rPr>
  </w:style>
  <w:style w:type="paragraph" w:styleId="List3">
    <w:name w:val="List 3"/>
    <w:basedOn w:val="List2"/>
    <w:rsid w:val="00D860F2"/>
    <w:pPr>
      <w:ind w:left="1135"/>
    </w:pPr>
  </w:style>
  <w:style w:type="paragraph" w:styleId="List4">
    <w:name w:val="List 4"/>
    <w:basedOn w:val="List3"/>
    <w:rsid w:val="00D860F2"/>
    <w:pPr>
      <w:ind w:left="1418"/>
    </w:pPr>
  </w:style>
  <w:style w:type="paragraph" w:styleId="List5">
    <w:name w:val="List 5"/>
    <w:basedOn w:val="List4"/>
    <w:rsid w:val="00D860F2"/>
    <w:pPr>
      <w:ind w:left="1702"/>
    </w:pPr>
  </w:style>
  <w:style w:type="paragraph" w:customStyle="1" w:styleId="EditorsNote">
    <w:name w:val="Editor's Note"/>
    <w:basedOn w:val="NO"/>
    <w:link w:val="EditorsNoteChar"/>
    <w:rsid w:val="00D860F2"/>
    <w:rPr>
      <w:color w:val="FF0000"/>
      <w:lang w:val="x-none" w:eastAsia="x-none"/>
    </w:rPr>
  </w:style>
  <w:style w:type="paragraph" w:styleId="ListBullet4">
    <w:name w:val="List Bullet 4"/>
    <w:basedOn w:val="ListBullet3"/>
    <w:rsid w:val="00D860F2"/>
    <w:pPr>
      <w:numPr>
        <w:numId w:val="19"/>
      </w:numPr>
    </w:pPr>
  </w:style>
  <w:style w:type="paragraph" w:styleId="ListBullet5">
    <w:name w:val="List Bullet 5"/>
    <w:basedOn w:val="ListBullet4"/>
    <w:rsid w:val="00D860F2"/>
    <w:pPr>
      <w:numPr>
        <w:numId w:val="20"/>
      </w:numPr>
    </w:pPr>
  </w:style>
  <w:style w:type="paragraph" w:styleId="Footer">
    <w:name w:val="footer"/>
    <w:basedOn w:val="Header"/>
    <w:link w:val="FooterChar"/>
    <w:rsid w:val="00D860F2"/>
    <w:pPr>
      <w:jc w:val="center"/>
    </w:pPr>
    <w:rPr>
      <w:i/>
    </w:rPr>
  </w:style>
  <w:style w:type="paragraph" w:customStyle="1" w:styleId="Reference">
    <w:name w:val="Reference"/>
    <w:basedOn w:val="BodyText"/>
    <w:rsid w:val="00D860F2"/>
    <w:pPr>
      <w:numPr>
        <w:numId w:val="2"/>
      </w:numPr>
    </w:pPr>
  </w:style>
  <w:style w:type="paragraph" w:styleId="BalloonText">
    <w:name w:val="Balloon Text"/>
    <w:basedOn w:val="Normal"/>
    <w:link w:val="BalloonTextChar"/>
    <w:rsid w:val="00D860F2"/>
    <w:pPr>
      <w:spacing w:after="0"/>
    </w:pPr>
    <w:rPr>
      <w:rFonts w:ascii="Segoe UI" w:hAnsi="Segoe UI" w:cs="Segoe UI"/>
      <w:sz w:val="18"/>
      <w:szCs w:val="18"/>
    </w:rPr>
  </w:style>
  <w:style w:type="character" w:styleId="PageNumber">
    <w:name w:val="page number"/>
    <w:basedOn w:val="DefaultParagraphFont"/>
    <w:rsid w:val="00D860F2"/>
  </w:style>
  <w:style w:type="paragraph" w:styleId="BodyText">
    <w:name w:val="Body Text"/>
    <w:basedOn w:val="Normal"/>
    <w:link w:val="BodyTextChar"/>
    <w:rsid w:val="00D860F2"/>
    <w:pPr>
      <w:spacing w:after="120"/>
      <w:jc w:val="both"/>
    </w:pPr>
    <w:rPr>
      <w:rFonts w:ascii="Arial" w:hAnsi="Arial"/>
      <w:lang w:eastAsia="zh-CN"/>
    </w:rPr>
  </w:style>
  <w:style w:type="character" w:styleId="Hyperlink">
    <w:name w:val="Hyperlink"/>
    <w:uiPriority w:val="99"/>
    <w:rsid w:val="00D860F2"/>
    <w:rPr>
      <w:color w:val="0000FF"/>
      <w:u w:val="single"/>
    </w:rPr>
  </w:style>
  <w:style w:type="character" w:styleId="FollowedHyperlink">
    <w:name w:val="FollowedHyperlink"/>
    <w:unhideWhenUsed/>
    <w:rsid w:val="00D860F2"/>
    <w:rPr>
      <w:color w:val="800080"/>
      <w:u w:val="single"/>
    </w:rPr>
  </w:style>
  <w:style w:type="character" w:styleId="CommentReference">
    <w:name w:val="annotation reference"/>
    <w:uiPriority w:val="99"/>
    <w:qFormat/>
    <w:rsid w:val="00D860F2"/>
    <w:rPr>
      <w:sz w:val="16"/>
      <w:szCs w:val="16"/>
    </w:rPr>
  </w:style>
  <w:style w:type="paragraph" w:styleId="CommentText">
    <w:name w:val="annotation text"/>
    <w:basedOn w:val="Normal"/>
    <w:link w:val="CommentTextChar"/>
    <w:uiPriority w:val="99"/>
    <w:qFormat/>
    <w:rsid w:val="00D860F2"/>
  </w:style>
  <w:style w:type="paragraph" w:styleId="CommentSubject">
    <w:name w:val="annotation subject"/>
    <w:basedOn w:val="CommentText"/>
    <w:next w:val="CommentText"/>
    <w:link w:val="CommentSubjectChar"/>
    <w:rsid w:val="00D860F2"/>
    <w:rPr>
      <w:b/>
      <w:bCs/>
    </w:rPr>
  </w:style>
  <w:style w:type="character" w:customStyle="1" w:styleId="Heading1Char">
    <w:name w:val="Heading 1 Char"/>
    <w:link w:val="Heading1"/>
    <w:rsid w:val="00D860F2"/>
    <w:rPr>
      <w:rFonts w:ascii="Arial" w:hAnsi="Arial"/>
      <w:sz w:val="36"/>
      <w:lang w:eastAsia="ja-JP"/>
    </w:rPr>
  </w:style>
  <w:style w:type="paragraph" w:customStyle="1" w:styleId="B1">
    <w:name w:val="B1"/>
    <w:basedOn w:val="List"/>
    <w:link w:val="B1Char1"/>
    <w:rsid w:val="00D860F2"/>
    <w:rPr>
      <w:rFonts w:ascii="Times New Roman" w:hAnsi="Times New Roman"/>
    </w:rPr>
  </w:style>
  <w:style w:type="paragraph" w:customStyle="1" w:styleId="B2">
    <w:name w:val="B2"/>
    <w:basedOn w:val="List2"/>
    <w:link w:val="B2Char"/>
    <w:rsid w:val="00D860F2"/>
    <w:rPr>
      <w:rFonts w:ascii="Times New Roman" w:hAnsi="Times New Roman"/>
    </w:rPr>
  </w:style>
  <w:style w:type="paragraph" w:customStyle="1" w:styleId="B3">
    <w:name w:val="B3"/>
    <w:basedOn w:val="List3"/>
    <w:link w:val="B3Char2"/>
    <w:rsid w:val="00D860F2"/>
    <w:rPr>
      <w:rFonts w:ascii="Times New Roman" w:hAnsi="Times New Roman"/>
    </w:rPr>
  </w:style>
  <w:style w:type="paragraph" w:customStyle="1" w:styleId="B4">
    <w:name w:val="B4"/>
    <w:basedOn w:val="List4"/>
    <w:link w:val="B4Char"/>
    <w:rsid w:val="00D860F2"/>
    <w:rPr>
      <w:rFonts w:ascii="Times New Roman" w:hAnsi="Times New Roman"/>
    </w:rPr>
  </w:style>
  <w:style w:type="paragraph" w:customStyle="1" w:styleId="Proposal">
    <w:name w:val="Proposal"/>
    <w:basedOn w:val="BodyText"/>
    <w:rsid w:val="00D860F2"/>
    <w:pPr>
      <w:numPr>
        <w:numId w:val="3"/>
      </w:numPr>
      <w:tabs>
        <w:tab w:val="clear" w:pos="1304"/>
        <w:tab w:val="left" w:pos="1701"/>
      </w:tabs>
      <w:ind w:left="1701" w:hanging="1701"/>
    </w:pPr>
    <w:rPr>
      <w:b/>
      <w:bCs/>
    </w:rPr>
  </w:style>
  <w:style w:type="character" w:customStyle="1" w:styleId="BodyTextChar">
    <w:name w:val="Body Text Char"/>
    <w:link w:val="BodyText"/>
    <w:rsid w:val="00D860F2"/>
    <w:rPr>
      <w:rFonts w:ascii="Arial" w:hAnsi="Arial"/>
      <w:lang w:eastAsia="zh-CN"/>
    </w:rPr>
  </w:style>
  <w:style w:type="paragraph" w:customStyle="1" w:styleId="B5">
    <w:name w:val="B5"/>
    <w:basedOn w:val="List5"/>
    <w:link w:val="B5Char"/>
    <w:rsid w:val="00D860F2"/>
    <w:rPr>
      <w:rFonts w:ascii="Times New Roman" w:hAnsi="Times New Roman"/>
    </w:rPr>
  </w:style>
  <w:style w:type="paragraph" w:customStyle="1" w:styleId="EX">
    <w:name w:val="EX"/>
    <w:basedOn w:val="Normal"/>
    <w:rsid w:val="00D860F2"/>
    <w:pPr>
      <w:keepLines/>
      <w:ind w:left="1702" w:hanging="1418"/>
    </w:pPr>
  </w:style>
  <w:style w:type="paragraph" w:customStyle="1" w:styleId="EW">
    <w:name w:val="EW"/>
    <w:basedOn w:val="EX"/>
    <w:rsid w:val="00D860F2"/>
    <w:pPr>
      <w:spacing w:after="0"/>
    </w:pPr>
  </w:style>
  <w:style w:type="paragraph" w:customStyle="1" w:styleId="TAL">
    <w:name w:val="TAL"/>
    <w:basedOn w:val="Normal"/>
    <w:link w:val="TALCar"/>
    <w:rsid w:val="00D860F2"/>
    <w:pPr>
      <w:keepNext/>
      <w:keepLines/>
      <w:spacing w:after="0"/>
    </w:pPr>
    <w:rPr>
      <w:rFonts w:ascii="Arial" w:hAnsi="Arial"/>
      <w:sz w:val="18"/>
      <w:lang w:val="x-none" w:eastAsia="x-none"/>
    </w:rPr>
  </w:style>
  <w:style w:type="paragraph" w:customStyle="1" w:styleId="TAC">
    <w:name w:val="TAC"/>
    <w:basedOn w:val="TAL"/>
    <w:rsid w:val="00D860F2"/>
    <w:pPr>
      <w:jc w:val="center"/>
    </w:pPr>
  </w:style>
  <w:style w:type="paragraph" w:customStyle="1" w:styleId="TAH">
    <w:name w:val="TAH"/>
    <w:basedOn w:val="TAC"/>
    <w:link w:val="TAHCar"/>
    <w:rsid w:val="00D860F2"/>
    <w:rPr>
      <w:b/>
    </w:rPr>
  </w:style>
  <w:style w:type="paragraph" w:customStyle="1" w:styleId="TAN">
    <w:name w:val="TAN"/>
    <w:basedOn w:val="TAL"/>
    <w:rsid w:val="00D860F2"/>
    <w:pPr>
      <w:ind w:left="851" w:hanging="851"/>
    </w:pPr>
  </w:style>
  <w:style w:type="paragraph" w:customStyle="1" w:styleId="TAR">
    <w:name w:val="TAR"/>
    <w:basedOn w:val="TAL"/>
    <w:rsid w:val="00D860F2"/>
    <w:pPr>
      <w:jc w:val="right"/>
    </w:pPr>
  </w:style>
  <w:style w:type="paragraph" w:customStyle="1" w:styleId="TH">
    <w:name w:val="TH"/>
    <w:basedOn w:val="Normal"/>
    <w:link w:val="THChar"/>
    <w:rsid w:val="00D860F2"/>
    <w:pPr>
      <w:keepNext/>
      <w:keepLines/>
      <w:spacing w:before="60"/>
      <w:jc w:val="center"/>
    </w:pPr>
    <w:rPr>
      <w:rFonts w:ascii="Arial" w:hAnsi="Arial"/>
      <w:b/>
      <w:lang w:val="x-none" w:eastAsia="x-none"/>
    </w:rPr>
  </w:style>
  <w:style w:type="paragraph" w:customStyle="1" w:styleId="TF">
    <w:name w:val="TF"/>
    <w:basedOn w:val="TH"/>
    <w:link w:val="TFChar"/>
    <w:rsid w:val="00D860F2"/>
    <w:pPr>
      <w:keepNext w:val="0"/>
      <w:spacing w:before="0" w:after="240"/>
    </w:pPr>
  </w:style>
  <w:style w:type="paragraph" w:customStyle="1" w:styleId="TT">
    <w:name w:val="TT"/>
    <w:basedOn w:val="Heading1"/>
    <w:next w:val="Normal"/>
    <w:rsid w:val="00D860F2"/>
    <w:pPr>
      <w:outlineLvl w:val="9"/>
    </w:pPr>
  </w:style>
  <w:style w:type="paragraph" w:customStyle="1" w:styleId="ZA">
    <w:name w:val="ZA"/>
    <w:rsid w:val="00D86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86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860F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860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860F2"/>
  </w:style>
  <w:style w:type="paragraph" w:customStyle="1" w:styleId="ZH">
    <w:name w:val="ZH"/>
    <w:rsid w:val="00D860F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860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860F2"/>
    <w:pPr>
      <w:framePr w:hRule="auto" w:wrap="notBeside" w:y="852"/>
    </w:pPr>
    <w:rPr>
      <w:i w:val="0"/>
      <w:sz w:val="40"/>
    </w:rPr>
  </w:style>
  <w:style w:type="paragraph" w:customStyle="1" w:styleId="ZU">
    <w:name w:val="ZU"/>
    <w:rsid w:val="00D86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860F2"/>
    <w:pPr>
      <w:framePr w:wrap="notBeside" w:y="16161"/>
    </w:pPr>
  </w:style>
  <w:style w:type="paragraph" w:customStyle="1" w:styleId="FP">
    <w:name w:val="FP"/>
    <w:basedOn w:val="Normal"/>
    <w:rsid w:val="00D860F2"/>
    <w:pPr>
      <w:spacing w:after="0"/>
    </w:pPr>
  </w:style>
  <w:style w:type="paragraph" w:customStyle="1" w:styleId="Observation">
    <w:name w:val="Observation"/>
    <w:basedOn w:val="Proposal"/>
    <w:qFormat/>
    <w:rsid w:val="00D860F2"/>
    <w:pPr>
      <w:numPr>
        <w:numId w:val="13"/>
      </w:numPr>
      <w:ind w:left="1701" w:hanging="1701"/>
    </w:pPr>
    <w:rPr>
      <w:lang w:eastAsia="ja-JP"/>
    </w:rPr>
  </w:style>
  <w:style w:type="paragraph" w:styleId="TableofFigures">
    <w:name w:val="table of figures"/>
    <w:basedOn w:val="BodyText"/>
    <w:next w:val="Normal"/>
    <w:uiPriority w:val="99"/>
    <w:rsid w:val="00D860F2"/>
    <w:pPr>
      <w:ind w:left="1701" w:hanging="1701"/>
      <w:jc w:val="left"/>
    </w:pPr>
    <w:rPr>
      <w:b/>
    </w:rPr>
  </w:style>
  <w:style w:type="character" w:customStyle="1" w:styleId="B1Char1">
    <w:name w:val="B1 Char1"/>
    <w:link w:val="B1"/>
    <w:qFormat/>
    <w:rsid w:val="00D860F2"/>
    <w:rPr>
      <w:rFonts w:ascii="Times New Roman" w:hAnsi="Times New Roman"/>
      <w:lang w:eastAsia="zh-CN"/>
    </w:rPr>
  </w:style>
  <w:style w:type="character" w:customStyle="1" w:styleId="B2Char">
    <w:name w:val="B2 Char"/>
    <w:link w:val="B2"/>
    <w:qFormat/>
    <w:rsid w:val="00D860F2"/>
    <w:rPr>
      <w:rFonts w:ascii="Times New Roman" w:hAnsi="Times New Roman"/>
      <w:lang w:eastAsia="ja-JP"/>
    </w:rPr>
  </w:style>
  <w:style w:type="character" w:customStyle="1" w:styleId="B3Char2">
    <w:name w:val="B3 Char2"/>
    <w:link w:val="B3"/>
    <w:qFormat/>
    <w:rsid w:val="00D860F2"/>
    <w:rPr>
      <w:rFonts w:ascii="Times New Roman" w:hAnsi="Times New Roman"/>
      <w:lang w:eastAsia="ja-JP"/>
    </w:rPr>
  </w:style>
  <w:style w:type="character" w:customStyle="1" w:styleId="B4Char">
    <w:name w:val="B4 Char"/>
    <w:link w:val="B4"/>
    <w:rsid w:val="00D860F2"/>
    <w:rPr>
      <w:rFonts w:ascii="Times New Roman" w:hAnsi="Times New Roman"/>
      <w:lang w:eastAsia="ja-JP"/>
    </w:rPr>
  </w:style>
  <w:style w:type="character" w:customStyle="1" w:styleId="B5Char">
    <w:name w:val="B5 Char"/>
    <w:link w:val="B5"/>
    <w:rsid w:val="00D860F2"/>
    <w:rPr>
      <w:rFonts w:ascii="Times New Roman" w:hAnsi="Times New Roman"/>
      <w:lang w:eastAsia="ja-JP"/>
    </w:rPr>
  </w:style>
  <w:style w:type="paragraph" w:customStyle="1" w:styleId="B6">
    <w:name w:val="B6"/>
    <w:basedOn w:val="B5"/>
    <w:link w:val="B6Char"/>
    <w:rsid w:val="00D860F2"/>
    <w:pPr>
      <w:ind w:left="1985"/>
    </w:pPr>
  </w:style>
  <w:style w:type="character" w:customStyle="1" w:styleId="B6Char">
    <w:name w:val="B6 Char"/>
    <w:link w:val="B6"/>
    <w:rsid w:val="00D860F2"/>
    <w:rPr>
      <w:rFonts w:ascii="Times New Roman" w:hAnsi="Times New Roman"/>
      <w:lang w:eastAsia="ja-JP"/>
    </w:rPr>
  </w:style>
  <w:style w:type="paragraph" w:customStyle="1" w:styleId="B7">
    <w:name w:val="B7"/>
    <w:basedOn w:val="B6"/>
    <w:link w:val="B7Char"/>
    <w:rsid w:val="00D860F2"/>
    <w:pPr>
      <w:ind w:left="2269"/>
    </w:pPr>
  </w:style>
  <w:style w:type="character" w:customStyle="1" w:styleId="B7Char">
    <w:name w:val="B7 Char"/>
    <w:basedOn w:val="B6Char"/>
    <w:link w:val="B7"/>
    <w:rsid w:val="00D860F2"/>
    <w:rPr>
      <w:rFonts w:ascii="Times New Roman" w:hAnsi="Times New Roman"/>
      <w:lang w:eastAsia="ja-JP"/>
    </w:rPr>
  </w:style>
  <w:style w:type="paragraph" w:customStyle="1" w:styleId="B8">
    <w:name w:val="B8"/>
    <w:basedOn w:val="B7"/>
    <w:qFormat/>
    <w:rsid w:val="00D860F2"/>
    <w:pPr>
      <w:ind w:left="2552"/>
    </w:pPr>
  </w:style>
  <w:style w:type="character" w:customStyle="1" w:styleId="BalloonTextChar">
    <w:name w:val="Balloon Text Char"/>
    <w:link w:val="BalloonText"/>
    <w:rsid w:val="00D860F2"/>
    <w:rPr>
      <w:rFonts w:ascii="Segoe UI" w:hAnsi="Segoe UI" w:cs="Segoe UI"/>
      <w:sz w:val="18"/>
      <w:szCs w:val="18"/>
      <w:lang w:eastAsia="ja-JP"/>
    </w:rPr>
  </w:style>
  <w:style w:type="character" w:customStyle="1" w:styleId="CommentTextChar">
    <w:name w:val="Comment Text Char"/>
    <w:link w:val="CommentText"/>
    <w:uiPriority w:val="99"/>
    <w:qFormat/>
    <w:rsid w:val="00D860F2"/>
    <w:rPr>
      <w:rFonts w:ascii="Times New Roman" w:hAnsi="Times New Roman"/>
      <w:lang w:eastAsia="ja-JP"/>
    </w:rPr>
  </w:style>
  <w:style w:type="character" w:customStyle="1" w:styleId="CommentSubjectChar">
    <w:name w:val="Comment Subject Char"/>
    <w:link w:val="CommentSubject"/>
    <w:rsid w:val="00D860F2"/>
    <w:rPr>
      <w:rFonts w:ascii="Times New Roman" w:hAnsi="Times New Roman"/>
      <w:b/>
      <w:bCs/>
      <w:lang w:eastAsia="ja-JP"/>
    </w:rPr>
  </w:style>
  <w:style w:type="paragraph" w:customStyle="1" w:styleId="CRCoverPage">
    <w:name w:val="CR Cover Page"/>
    <w:link w:val="CRCoverPageZchn"/>
    <w:rsid w:val="00D860F2"/>
    <w:pPr>
      <w:spacing w:after="120"/>
    </w:pPr>
    <w:rPr>
      <w:rFonts w:ascii="Arial" w:hAnsi="Arial"/>
      <w:lang w:eastAsia="ko-KR"/>
    </w:rPr>
  </w:style>
  <w:style w:type="character" w:customStyle="1" w:styleId="CRCoverPageZchn">
    <w:name w:val="CR Cover Page Zchn"/>
    <w:link w:val="CRCoverPage"/>
    <w:rsid w:val="00D860F2"/>
    <w:rPr>
      <w:rFonts w:ascii="Arial" w:hAnsi="Arial"/>
      <w:lang w:eastAsia="ko-KR"/>
    </w:rPr>
  </w:style>
  <w:style w:type="paragraph" w:customStyle="1" w:styleId="Doc-text2">
    <w:name w:val="Doc-text2"/>
    <w:basedOn w:val="Normal"/>
    <w:link w:val="Doc-text2Char"/>
    <w:qFormat/>
    <w:rsid w:val="00D860F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860F2"/>
    <w:rPr>
      <w:rFonts w:ascii="Arial" w:eastAsia="MS Mincho" w:hAnsi="Arial"/>
      <w:szCs w:val="24"/>
      <w:lang w:val="x-none" w:eastAsia="x-none"/>
    </w:rPr>
  </w:style>
  <w:style w:type="character" w:customStyle="1" w:styleId="DocumentMapChar">
    <w:name w:val="Document Map Char"/>
    <w:link w:val="DocumentMap"/>
    <w:rsid w:val="00D860F2"/>
    <w:rPr>
      <w:rFonts w:ascii="Tahoma" w:hAnsi="Tahoma" w:cs="Tahoma"/>
      <w:shd w:val="clear" w:color="auto" w:fill="000080"/>
      <w:lang w:eastAsia="ja-JP"/>
    </w:rPr>
  </w:style>
  <w:style w:type="paragraph" w:customStyle="1" w:styleId="NO">
    <w:name w:val="NO"/>
    <w:basedOn w:val="Normal"/>
    <w:link w:val="NOChar"/>
    <w:rsid w:val="00D860F2"/>
    <w:pPr>
      <w:keepLines/>
      <w:ind w:left="1135" w:hanging="851"/>
    </w:pPr>
  </w:style>
  <w:style w:type="character" w:customStyle="1" w:styleId="NOChar">
    <w:name w:val="NO Char"/>
    <w:link w:val="NO"/>
    <w:qFormat/>
    <w:rsid w:val="00D860F2"/>
    <w:rPr>
      <w:rFonts w:ascii="Times New Roman" w:hAnsi="Times New Roman"/>
      <w:lang w:eastAsia="ja-JP"/>
    </w:rPr>
  </w:style>
  <w:style w:type="character" w:customStyle="1" w:styleId="EditorsNoteChar">
    <w:name w:val="Editor's Note Char"/>
    <w:link w:val="EditorsNote"/>
    <w:rsid w:val="00D860F2"/>
    <w:rPr>
      <w:rFonts w:ascii="Times New Roman" w:hAnsi="Times New Roman"/>
      <w:color w:val="FF0000"/>
      <w:lang w:val="x-none" w:eastAsia="x-none"/>
    </w:rPr>
  </w:style>
  <w:style w:type="paragraph" w:customStyle="1" w:styleId="EmailDiscussion">
    <w:name w:val="EmailDiscussion"/>
    <w:basedOn w:val="Normal"/>
    <w:next w:val="Normal"/>
    <w:rsid w:val="00D860F2"/>
    <w:pPr>
      <w:numPr>
        <w:numId w:val="14"/>
      </w:numPr>
      <w:spacing w:before="40" w:after="0"/>
    </w:pPr>
    <w:rPr>
      <w:rFonts w:ascii="Arial" w:eastAsia="MS Mincho" w:hAnsi="Arial"/>
      <w:b/>
      <w:szCs w:val="24"/>
      <w:lang w:eastAsia="en-GB"/>
    </w:rPr>
  </w:style>
  <w:style w:type="character" w:styleId="Emphasis">
    <w:name w:val="Emphasis"/>
    <w:qFormat/>
    <w:rsid w:val="00D860F2"/>
    <w:rPr>
      <w:i/>
      <w:iCs/>
    </w:rPr>
  </w:style>
  <w:style w:type="paragraph" w:customStyle="1" w:styleId="FigureTitle">
    <w:name w:val="Figure_Title"/>
    <w:basedOn w:val="Normal"/>
    <w:next w:val="Normal"/>
    <w:rsid w:val="00D860F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860F2"/>
    <w:rPr>
      <w:rFonts w:ascii="Arial" w:hAnsi="Arial"/>
      <w:b/>
      <w:noProof/>
      <w:sz w:val="18"/>
      <w:lang w:eastAsia="ja-JP"/>
    </w:rPr>
  </w:style>
  <w:style w:type="character" w:customStyle="1" w:styleId="FooterChar">
    <w:name w:val="Footer Char"/>
    <w:link w:val="Footer"/>
    <w:rsid w:val="00D860F2"/>
    <w:rPr>
      <w:rFonts w:ascii="Arial" w:hAnsi="Arial"/>
      <w:b/>
      <w:i/>
      <w:noProof/>
      <w:sz w:val="18"/>
      <w:lang w:eastAsia="ja-JP"/>
    </w:rPr>
  </w:style>
  <w:style w:type="character" w:customStyle="1" w:styleId="FootnoteTextChar">
    <w:name w:val="Footnote Text Char"/>
    <w:link w:val="FootnoteText"/>
    <w:rsid w:val="00D860F2"/>
    <w:rPr>
      <w:rFonts w:ascii="Times New Roman" w:hAnsi="Times New Roman"/>
      <w:sz w:val="16"/>
      <w:lang w:eastAsia="ja-JP"/>
    </w:rPr>
  </w:style>
  <w:style w:type="paragraph" w:customStyle="1" w:styleId="Guidance">
    <w:name w:val="Guidance"/>
    <w:basedOn w:val="Normal"/>
    <w:rsid w:val="00D860F2"/>
    <w:rPr>
      <w:i/>
      <w:color w:val="0000FF"/>
    </w:rPr>
  </w:style>
  <w:style w:type="character" w:customStyle="1" w:styleId="Heading2Char">
    <w:name w:val="Heading 2 Char"/>
    <w:link w:val="Heading2"/>
    <w:rsid w:val="00D860F2"/>
    <w:rPr>
      <w:rFonts w:ascii="Arial" w:hAnsi="Arial"/>
      <w:sz w:val="32"/>
      <w:lang w:eastAsia="ja-JP"/>
    </w:rPr>
  </w:style>
  <w:style w:type="character" w:customStyle="1" w:styleId="Heading3Char">
    <w:name w:val="Heading 3 Char"/>
    <w:link w:val="Heading3"/>
    <w:rsid w:val="00D860F2"/>
    <w:rPr>
      <w:rFonts w:ascii="Arial" w:hAnsi="Arial"/>
      <w:sz w:val="28"/>
      <w:lang w:eastAsia="ja-JP"/>
    </w:rPr>
  </w:style>
  <w:style w:type="character" w:customStyle="1" w:styleId="Heading4Char">
    <w:name w:val="Heading 4 Char"/>
    <w:link w:val="Heading4"/>
    <w:rsid w:val="00D860F2"/>
    <w:rPr>
      <w:rFonts w:ascii="Arial" w:hAnsi="Arial"/>
      <w:sz w:val="24"/>
      <w:lang w:eastAsia="ja-JP"/>
    </w:rPr>
  </w:style>
  <w:style w:type="character" w:customStyle="1" w:styleId="Heading5Char">
    <w:name w:val="Heading 5 Char"/>
    <w:link w:val="Heading5"/>
    <w:rsid w:val="00D860F2"/>
    <w:rPr>
      <w:rFonts w:ascii="Arial" w:hAnsi="Arial"/>
      <w:sz w:val="22"/>
      <w:lang w:eastAsia="ja-JP"/>
    </w:rPr>
  </w:style>
  <w:style w:type="paragraph" w:customStyle="1" w:styleId="H6">
    <w:name w:val="H6"/>
    <w:basedOn w:val="Heading5"/>
    <w:next w:val="Normal"/>
    <w:rsid w:val="00D860F2"/>
    <w:pPr>
      <w:ind w:left="1985" w:hanging="1985"/>
      <w:outlineLvl w:val="9"/>
    </w:pPr>
    <w:rPr>
      <w:sz w:val="20"/>
    </w:rPr>
  </w:style>
  <w:style w:type="character" w:customStyle="1" w:styleId="Heading6Char">
    <w:name w:val="Heading 6 Char"/>
    <w:link w:val="Heading6"/>
    <w:rsid w:val="00D860F2"/>
    <w:rPr>
      <w:rFonts w:ascii="Arial" w:hAnsi="Arial"/>
      <w:lang w:eastAsia="ja-JP"/>
    </w:rPr>
  </w:style>
  <w:style w:type="character" w:customStyle="1" w:styleId="Heading7Char">
    <w:name w:val="Heading 7 Char"/>
    <w:link w:val="Heading7"/>
    <w:rsid w:val="00D860F2"/>
    <w:rPr>
      <w:rFonts w:ascii="Arial" w:hAnsi="Arial"/>
      <w:lang w:eastAsia="ja-JP"/>
    </w:rPr>
  </w:style>
  <w:style w:type="character" w:customStyle="1" w:styleId="Heading8Char">
    <w:name w:val="Heading 8 Char"/>
    <w:link w:val="Heading8"/>
    <w:rsid w:val="00D860F2"/>
    <w:rPr>
      <w:rFonts w:ascii="Arial" w:hAnsi="Arial"/>
      <w:sz w:val="36"/>
      <w:lang w:eastAsia="ja-JP"/>
    </w:rPr>
  </w:style>
  <w:style w:type="character" w:customStyle="1" w:styleId="Heading9Char">
    <w:name w:val="Heading 9 Char"/>
    <w:link w:val="Heading9"/>
    <w:rsid w:val="00D860F2"/>
    <w:rPr>
      <w:rFonts w:ascii="Arial" w:hAnsi="Arial"/>
      <w:sz w:val="36"/>
      <w:lang w:eastAsia="ja-JP"/>
    </w:rPr>
  </w:style>
  <w:style w:type="character" w:styleId="HTMLCode">
    <w:name w:val="HTML Code"/>
    <w:uiPriority w:val="99"/>
    <w:unhideWhenUsed/>
    <w:rsid w:val="00D860F2"/>
    <w:rPr>
      <w:rFonts w:ascii="Courier New" w:eastAsia="Times New Roman" w:hAnsi="Courier New" w:cs="Courier New"/>
      <w:sz w:val="20"/>
      <w:szCs w:val="20"/>
    </w:rPr>
  </w:style>
  <w:style w:type="paragraph" w:styleId="IndexHeading">
    <w:name w:val="index heading"/>
    <w:basedOn w:val="Normal"/>
    <w:next w:val="Normal"/>
    <w:rsid w:val="00D860F2"/>
    <w:pPr>
      <w:pBdr>
        <w:top w:val="single" w:sz="12" w:space="0" w:color="auto"/>
      </w:pBdr>
      <w:spacing w:before="360" w:after="240"/>
    </w:pPr>
    <w:rPr>
      <w:b/>
      <w:i/>
      <w:sz w:val="26"/>
      <w:lang w:eastAsia="en-GB"/>
    </w:rPr>
  </w:style>
  <w:style w:type="paragraph" w:customStyle="1" w:styleId="LD">
    <w:name w:val="LD"/>
    <w:rsid w:val="00D860F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860F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860F2"/>
    <w:rPr>
      <w:rFonts w:ascii="Calibri" w:eastAsia="Calibri" w:hAnsi="Calibri"/>
      <w:sz w:val="22"/>
      <w:szCs w:val="22"/>
      <w:lang w:val="x-none" w:eastAsia="en-US"/>
    </w:rPr>
  </w:style>
  <w:style w:type="paragraph" w:customStyle="1" w:styleId="NF">
    <w:name w:val="NF"/>
    <w:basedOn w:val="NO"/>
    <w:rsid w:val="00D860F2"/>
    <w:pPr>
      <w:keepNext/>
      <w:spacing w:after="0"/>
    </w:pPr>
    <w:rPr>
      <w:rFonts w:ascii="Arial" w:hAnsi="Arial"/>
      <w:sz w:val="18"/>
    </w:rPr>
  </w:style>
  <w:style w:type="paragraph" w:customStyle="1" w:styleId="NW">
    <w:name w:val="NW"/>
    <w:basedOn w:val="NO"/>
    <w:rsid w:val="00D860F2"/>
    <w:pPr>
      <w:spacing w:after="0"/>
    </w:pPr>
  </w:style>
  <w:style w:type="paragraph" w:customStyle="1" w:styleId="PL">
    <w:name w:val="PL"/>
    <w:link w:val="PLChar"/>
    <w:qFormat/>
    <w:rsid w:val="00D86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860F2"/>
    <w:rPr>
      <w:rFonts w:ascii="Courier New" w:eastAsia="Batang" w:hAnsi="Courier New"/>
      <w:noProof/>
      <w:sz w:val="16"/>
      <w:shd w:val="clear" w:color="auto" w:fill="E6E6E6"/>
      <w:lang w:eastAsia="sv-SE"/>
    </w:rPr>
  </w:style>
  <w:style w:type="paragraph" w:styleId="PlainText">
    <w:name w:val="Plain Text"/>
    <w:basedOn w:val="Normal"/>
    <w:link w:val="PlainTextChar"/>
    <w:rsid w:val="00D860F2"/>
    <w:rPr>
      <w:rFonts w:ascii="Courier New" w:hAnsi="Courier New"/>
      <w:lang w:val="nb-NO"/>
    </w:rPr>
  </w:style>
  <w:style w:type="character" w:customStyle="1" w:styleId="PlainTextChar">
    <w:name w:val="Plain Text Char"/>
    <w:link w:val="PlainText"/>
    <w:rsid w:val="00D860F2"/>
    <w:rPr>
      <w:rFonts w:ascii="Courier New" w:hAnsi="Courier New"/>
      <w:lang w:val="nb-NO" w:eastAsia="ja-JP"/>
    </w:rPr>
  </w:style>
  <w:style w:type="character" w:styleId="Strong">
    <w:name w:val="Strong"/>
    <w:uiPriority w:val="22"/>
    <w:qFormat/>
    <w:rsid w:val="00D860F2"/>
    <w:rPr>
      <w:b/>
      <w:bCs/>
    </w:rPr>
  </w:style>
  <w:style w:type="table" w:styleId="TableGrid">
    <w:name w:val="Table Grid"/>
    <w:basedOn w:val="TableNormal"/>
    <w:uiPriority w:val="39"/>
    <w:rsid w:val="00D860F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860F2"/>
    <w:rPr>
      <w:rFonts w:ascii="Arial" w:hAnsi="Arial"/>
      <w:sz w:val="18"/>
      <w:lang w:val="x-none" w:eastAsia="x-none"/>
    </w:rPr>
  </w:style>
  <w:style w:type="character" w:customStyle="1" w:styleId="TAHCar">
    <w:name w:val="TAH Car"/>
    <w:link w:val="TAH"/>
    <w:locked/>
    <w:rsid w:val="00D860F2"/>
    <w:rPr>
      <w:rFonts w:ascii="Arial" w:hAnsi="Arial"/>
      <w:b/>
      <w:sz w:val="18"/>
      <w:lang w:val="x-none" w:eastAsia="x-none"/>
    </w:rPr>
  </w:style>
  <w:style w:type="character" w:customStyle="1" w:styleId="THChar">
    <w:name w:val="TH Char"/>
    <w:link w:val="TH"/>
    <w:rsid w:val="00D860F2"/>
    <w:rPr>
      <w:rFonts w:ascii="Arial" w:hAnsi="Arial"/>
      <w:b/>
      <w:lang w:val="x-none" w:eastAsia="x-none"/>
    </w:rPr>
  </w:style>
  <w:style w:type="paragraph" w:customStyle="1" w:styleId="TAJ">
    <w:name w:val="TAJ"/>
    <w:basedOn w:val="TH"/>
    <w:rsid w:val="00D860F2"/>
  </w:style>
  <w:style w:type="paragraph" w:customStyle="1" w:styleId="TALCharChar">
    <w:name w:val="TAL Char Char"/>
    <w:basedOn w:val="Normal"/>
    <w:link w:val="TALCharCharChar"/>
    <w:rsid w:val="00D860F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860F2"/>
    <w:rPr>
      <w:rFonts w:ascii="Arial" w:eastAsia="Malgun Gothic" w:hAnsi="Arial"/>
      <w:sz w:val="18"/>
      <w:lang w:val="x-none" w:eastAsia="x-none"/>
    </w:rPr>
  </w:style>
  <w:style w:type="character" w:customStyle="1" w:styleId="TFChar">
    <w:name w:val="TF Char"/>
    <w:link w:val="TF"/>
    <w:rsid w:val="00D860F2"/>
    <w:rPr>
      <w:rFonts w:ascii="Arial" w:hAnsi="Arial"/>
      <w:b/>
      <w:lang w:val="x-none" w:eastAsia="x-none"/>
    </w:rPr>
  </w:style>
  <w:style w:type="paragraph" w:styleId="ListContinue">
    <w:name w:val="List Continue"/>
    <w:basedOn w:val="Normal"/>
    <w:rsid w:val="00D860F2"/>
    <w:pPr>
      <w:spacing w:after="120"/>
      <w:ind w:left="283"/>
      <w:contextualSpacing/>
    </w:pPr>
    <w:rPr>
      <w:rFonts w:ascii="Arial" w:hAnsi="Arial"/>
    </w:rPr>
  </w:style>
  <w:style w:type="paragraph" w:styleId="ListContinue2">
    <w:name w:val="List Continue 2"/>
    <w:basedOn w:val="Normal"/>
    <w:rsid w:val="00D860F2"/>
    <w:pPr>
      <w:spacing w:after="120"/>
      <w:ind w:left="566"/>
      <w:contextualSpacing/>
    </w:pPr>
    <w:rPr>
      <w:rFonts w:ascii="Arial" w:hAnsi="Arial"/>
    </w:rPr>
  </w:style>
  <w:style w:type="paragraph" w:styleId="ListNumber3">
    <w:name w:val="List Number 3"/>
    <w:basedOn w:val="ListNumber2"/>
    <w:rsid w:val="00D860F2"/>
    <w:pPr>
      <w:numPr>
        <w:numId w:val="10"/>
      </w:numPr>
      <w:contextualSpacing/>
    </w:pPr>
  </w:style>
  <w:style w:type="character" w:styleId="UnresolvedMention">
    <w:name w:val="Unresolved Mention"/>
    <w:basedOn w:val="DefaultParagraphFont"/>
    <w:uiPriority w:val="99"/>
    <w:semiHidden/>
    <w:unhideWhenUsed/>
    <w:rsid w:val="000A072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9495B-9612-4BB1-85F2-FBC47D43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Template.dotx</Template>
  <TotalTime>0</TotalTime>
  <Pages>3</Pages>
  <Words>1211</Words>
  <Characters>6802</Characters>
  <Application>Microsoft Office Word</Application>
  <DocSecurity>0</DocSecurity>
  <Lines>147</Lines>
  <Paragraphs>143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7870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dc:creator>
  <cp:keywords>3GPP; Ericsson; TDoc</cp:keywords>
  <dc:description/>
  <cp:lastModifiedBy>Ericsson</cp:lastModifiedBy>
  <cp:revision>18</cp:revision>
  <cp:lastPrinted>2008-01-31T07:09:00Z</cp:lastPrinted>
  <dcterms:created xsi:type="dcterms:W3CDTF">2018-06-19T14:27:00Z</dcterms:created>
  <dcterms:modified xsi:type="dcterms:W3CDTF">2018-06-21T21:38:00Z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